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jc w:val="center"/>
        <w:rPr>
          <w:rFonts w:ascii="Arial" w:hAnsi="Arial"/>
          <w:sz w:val="24"/>
          <w:szCs w:val="24"/>
        </w:rPr>
      </w:pPr>
      <w:r>
        <w:rPr>
          <w:b/>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b/>
          <w:i w:val="false"/>
          <w:iCs w:val="false"/>
          <w:color w:val="000000"/>
          <w:sz w:val="24"/>
          <w:szCs w:val="24"/>
        </w:rPr>
        <w:t>AVISO DE DISPENSA ELETRÔNICA Nº 90021/2024</w:t>
      </w:r>
    </w:p>
    <w:p>
      <w:pPr>
        <w:pStyle w:val="Normal"/>
        <w:spacing w:lineRule="auto" w:line="276" w:before="0" w:after="120"/>
        <w:ind w:left="0" w:right="-15" w:hanging="0"/>
        <w:jc w:val="center"/>
        <w:rPr/>
      </w:pPr>
      <w:r>
        <w:rPr>
          <w:b/>
          <w:i w:val="false"/>
          <w:iCs w:val="false"/>
          <w:color w:val="000000"/>
          <w:sz w:val="24"/>
          <w:szCs w:val="24"/>
        </w:rPr>
        <w:t xml:space="preserve">(Processo Administrativo </w:t>
      </w:r>
      <w:r>
        <w:rPr>
          <w:rStyle w:val="Nfaseforte"/>
          <w:rFonts w:eastAsia="Times New Roman" w:cs="Arial"/>
          <w:b/>
          <w:bCs/>
          <w:i w:val="false"/>
          <w:iCs w:val="false"/>
          <w:color w:val="000000"/>
          <w:kern w:val="0"/>
          <w:sz w:val="24"/>
          <w:szCs w:val="24"/>
          <w:shd w:fill="auto" w:val="clear"/>
          <w:lang w:val="pt-BR" w:eastAsia="pt-BR" w:bidi="ar-SA"/>
        </w:rPr>
        <w:t>n.</w:t>
      </w:r>
      <w:r>
        <w:rPr>
          <w:rStyle w:val="Nfaseforte"/>
          <w:rFonts w:eastAsia="Times New Roman" w:cs="Arial"/>
          <w:b/>
          <w:bCs/>
          <w:i w:val="false"/>
          <w:iCs w:val="false"/>
          <w:color w:val="000000"/>
          <w:kern w:val="0"/>
          <w:sz w:val="24"/>
          <w:szCs w:val="24"/>
          <w:lang w:val="pt-BR" w:eastAsia="pt-BR" w:bidi="ar-SA"/>
        </w:rPr>
        <w:t>°</w:t>
      </w:r>
      <w:r>
        <w:rPr>
          <w:rStyle w:val="Nfaseforte"/>
          <w:rFonts w:eastAsia="Times New Roman" w:cs="Arial"/>
          <w:i w:val="false"/>
          <w:iCs w:val="false"/>
          <w:color w:val="000000"/>
          <w:kern w:val="0"/>
          <w:sz w:val="24"/>
          <w:szCs w:val="24"/>
          <w:lang w:val="pt-BR" w:eastAsia="pt-BR" w:bidi="ar-SA"/>
        </w:rPr>
        <w:t>63430.001256/2024-70 )</w:t>
      </w:r>
    </w:p>
    <w:p>
      <w:pPr>
        <w:pStyle w:val="Normal"/>
        <w:jc w:val="both"/>
        <w:rPr>
          <w:rFonts w:ascii="Arial" w:hAnsi="Arial"/>
          <w:i w:val="false"/>
          <w:i w:val="false"/>
          <w:iCs w:val="false"/>
          <w:sz w:val="24"/>
          <w:szCs w:val="24"/>
        </w:rPr>
      </w:pPr>
      <w:r>
        <w:rPr>
          <w:i w:val="false"/>
          <w:iCs w:val="false"/>
          <w:sz w:val="24"/>
          <w:szCs w:val="24"/>
        </w:rPr>
      </w:r>
    </w:p>
    <w:p>
      <w:pPr>
        <w:pStyle w:val="Normal"/>
        <w:spacing w:lineRule="auto" w:line="276" w:before="0" w:after="120"/>
        <w:ind w:left="0" w:right="-30" w:firstLine="540"/>
        <w:jc w:val="both"/>
        <w:rPr>
          <w:rFonts w:ascii="Arial" w:hAnsi="Arial"/>
          <w:sz w:val="24"/>
          <w:szCs w:val="24"/>
        </w:rPr>
      </w:pPr>
      <w:r>
        <w:rPr>
          <w:i w:val="false"/>
          <w:iCs w:val="false"/>
          <w:color w:val="000000"/>
          <w:sz w:val="24"/>
          <w:szCs w:val="24"/>
        </w:rPr>
        <w:t>Torna-se público que o Batalhão de Operações Especiais de Fuzileiros Navais, por meio do Setor de obtenção, realizará Dispensa Eletrônica, com critério de julgamento</w:t>
      </w:r>
      <w:r>
        <w:rPr>
          <w:b/>
          <w:i w:val="false"/>
          <w:iCs w:val="false"/>
          <w:color w:val="000000"/>
          <w:sz w:val="24"/>
          <w:szCs w:val="24"/>
        </w:rPr>
        <w:t xml:space="preserve"> </w:t>
      </w:r>
      <w:r>
        <w:rPr>
          <w:b w:val="false"/>
          <w:bCs w:val="false"/>
          <w:i w:val="false"/>
          <w:iCs w:val="false"/>
          <w:color w:val="000000"/>
          <w:sz w:val="24"/>
          <w:szCs w:val="24"/>
        </w:rPr>
        <w:t>menor preço,</w:t>
      </w:r>
      <w:r>
        <w:rPr>
          <w:b/>
          <w:i w:val="false"/>
          <w:iCs w:val="false"/>
          <w:color w:val="000000"/>
          <w:sz w:val="24"/>
          <w:szCs w:val="24"/>
        </w:rPr>
        <w:t xml:space="preserve"> </w:t>
      </w:r>
      <w:r>
        <w:rPr>
          <w:i w:val="false"/>
          <w:iCs w:val="false"/>
          <w:color w:val="000000"/>
          <w:sz w:val="24"/>
          <w:szCs w:val="24"/>
        </w:rPr>
        <w:t>na hipótese do art. 75, inciso</w:t>
      </w:r>
      <w:r>
        <w:rPr>
          <w:b/>
          <w:i w:val="false"/>
          <w:iCs w:val="false"/>
          <w:color w:val="000000"/>
          <w:sz w:val="24"/>
          <w:szCs w:val="24"/>
        </w:rPr>
        <w:t xml:space="preserve"> II</w:t>
      </w:r>
      <w:r>
        <w:rPr>
          <w:i w:val="false"/>
          <w:iCs w:val="false"/>
          <w:color w:val="000000"/>
          <w:sz w:val="24"/>
          <w:szCs w:val="24"/>
        </w:rPr>
        <w:t>,</w:t>
      </w:r>
      <w:r>
        <w:rPr>
          <w:i w:val="false"/>
          <w:iCs w:val="false"/>
          <w:color w:val="FF0000"/>
          <w:sz w:val="24"/>
          <w:szCs w:val="24"/>
        </w:rPr>
        <w:t xml:space="preserve"> </w:t>
      </w:r>
      <w:r>
        <w:rPr>
          <w:i w:val="false"/>
          <w:iCs w:val="false"/>
          <w:sz w:val="24"/>
          <w:szCs w:val="24"/>
        </w:rPr>
        <w:t>nos termos da Lei nº 14.133, de 1º de abril de 2021, da Instrução Normativa SEGES/ME nº 67/2021 e demais legislação aplicável</w:t>
      </w:r>
      <w:r>
        <w:rPr>
          <w:i w:val="false"/>
          <w:iCs w:val="false"/>
          <w:color w:val="000000"/>
          <w:sz w:val="24"/>
          <w:szCs w:val="24"/>
        </w:rPr>
        <w:t>.</w:t>
      </w:r>
    </w:p>
    <w:p>
      <w:pPr>
        <w:pStyle w:val="Normal"/>
        <w:spacing w:lineRule="auto" w:line="276"/>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jc w:val="both"/>
        <w:rPr>
          <w:rFonts w:ascii="Arial" w:hAnsi="Arial"/>
          <w:sz w:val="24"/>
          <w:szCs w:val="24"/>
        </w:rPr>
      </w:pPr>
      <w:r>
        <w:rPr>
          <w:i w:val="false"/>
          <w:iCs w:val="false"/>
          <w:color w:val="000000"/>
          <w:sz w:val="24"/>
          <w:szCs w:val="24"/>
        </w:rPr>
        <w:t>Data da sessão:         /         /2024</w:t>
      </w:r>
    </w:p>
    <w:p>
      <w:pPr>
        <w:pStyle w:val="Normal"/>
        <w:jc w:val="both"/>
        <w:rPr>
          <w:rFonts w:ascii="Arial" w:hAnsi="Arial"/>
          <w:sz w:val="24"/>
          <w:szCs w:val="24"/>
        </w:rPr>
      </w:pPr>
      <w:r>
        <w:rPr>
          <w:i w:val="false"/>
          <w:iCs w:val="false"/>
          <w:color w:val="000000"/>
          <w:sz w:val="24"/>
          <w:szCs w:val="24"/>
        </w:rPr>
        <w:t>Link: https://www.comprasnet.gov.br/seguro/loginPortal.asp</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OBJETO DA CONTRATAÇÃO DIRETA</w:t>
      </w:r>
    </w:p>
    <w:p>
      <w:pPr>
        <w:pStyle w:val="Normal"/>
        <w:keepNext w:val="true"/>
        <w:keepLines w:val="false"/>
        <w:widowControl/>
        <w:numPr>
          <w:ilvl w:val="1"/>
          <w:numId w:val="3"/>
        </w:numPr>
        <w:spacing w:lineRule="auto" w:line="276" w:before="120" w:after="12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objeto da presente dispensa é a escolha da proposta mais vantajosa para a aquisição, por dispensa de licitação,</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de </w:t>
      </w:r>
      <w:r>
        <w:rPr>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eastAsia="zxx" w:bidi="zxx"/>
        </w:rPr>
        <w:t>materiais para a 2ªCIA do batalhão</w:t>
      </w:r>
      <w:r>
        <w:rPr>
          <w:rStyle w:val="Fontepargpadro"/>
          <w:rFonts w:eastAsia="Times New Roman" w:cs="Times New Roman"/>
          <w:b w:val="false"/>
          <w:bCs w:val="false"/>
          <w:i w:val="false"/>
          <w:iCs/>
          <w:caps w:val="false"/>
          <w:smallCaps w:val="false"/>
          <w:strike w:val="false"/>
          <w:dstrike w:val="false"/>
          <w:outline w:val="false"/>
          <w:shadow w:val="false"/>
          <w:color w:val="000000"/>
          <w:position w:val="0"/>
          <w:sz w:val="24"/>
          <w:sz w:val="24"/>
          <w:szCs w:val="24"/>
          <w:u w:val="none"/>
          <w:vertAlign w:val="baseline"/>
          <w:em w:val="none"/>
          <w:lang w:val="zxx" w:eastAsia="zxx" w:bidi="zxx"/>
        </w:rPr>
        <w:t>,</w:t>
      </w:r>
      <w:r>
        <w:rPr>
          <w:rFonts w:eastAsia="Arial" w:cs="Arial"/>
          <w:b w:val="false"/>
          <w:i w:val="false"/>
          <w:iCs w:val="false"/>
          <w:caps w:val="false"/>
          <w:smallCaps w:val="false"/>
          <w:strike w:val="false"/>
          <w:dstrike w:val="false"/>
          <w:color w:val="000000"/>
          <w:position w:val="0"/>
          <w:sz w:val="24"/>
          <w:sz w:val="24"/>
          <w:szCs w:val="24"/>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conforme condições, quantidades e exigências estabelecidas neste Aviso de Contratação Direta e seus anexos.</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aquisição será dividida em itens</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conforme tabela constante abaixo.</w:t>
      </w:r>
    </w:p>
    <w:tbl>
      <w:tblPr>
        <w:tblW w:w="10890" w:type="dxa"/>
        <w:jc w:val="left"/>
        <w:tblInd w:w="-497" w:type="dxa"/>
        <w:tblCellMar>
          <w:top w:w="0" w:type="dxa"/>
          <w:left w:w="63" w:type="dxa"/>
          <w:bottom w:w="0" w:type="dxa"/>
          <w:right w:w="108" w:type="dxa"/>
        </w:tblCellMar>
      </w:tblPr>
      <w:tblGrid>
        <w:gridCol w:w="569"/>
        <w:gridCol w:w="2662"/>
        <w:gridCol w:w="1233"/>
        <w:gridCol w:w="1046"/>
        <w:gridCol w:w="777"/>
        <w:gridCol w:w="1125"/>
        <w:gridCol w:w="1159"/>
        <w:gridCol w:w="1238"/>
        <w:gridCol w:w="1080"/>
      </w:tblGrid>
      <w:tr>
        <w:trPr/>
        <w:tc>
          <w:tcPr>
            <w:tcW w:w="569"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ITEM</w:t>
            </w:r>
          </w:p>
          <w:p>
            <w:pPr>
              <w:pStyle w:val="Normal"/>
              <w:widowControl w:val="false"/>
              <w:suppressAutoHyphens w:val="true"/>
              <w:spacing w:lineRule="auto" w:line="276" w:before="0" w:after="0"/>
              <w:jc w:val="center"/>
              <w:rPr>
                <w:rFonts w:ascii="Arial" w:hAnsi="Arial" w:cs="Arial"/>
                <w:b/>
                <w:b/>
                <w:bCs/>
                <w:color w:val="000000"/>
                <w:sz w:val="18"/>
                <w:szCs w:val="18"/>
              </w:rPr>
            </w:pPr>
            <w:r>
              <w:rPr>
                <w:rFonts w:cs="Arial"/>
                <w:b/>
                <w:bCs/>
                <w:color w:val="000000"/>
                <w:sz w:val="18"/>
                <w:szCs w:val="18"/>
              </w:rPr>
            </w:r>
          </w:p>
        </w:tc>
        <w:tc>
          <w:tcPr>
            <w:tcW w:w="2662"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ESPECIFICAÇÃO</w:t>
            </w:r>
          </w:p>
        </w:tc>
        <w:tc>
          <w:tcPr>
            <w:tcW w:w="1233"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b/>
                <w:bCs/>
                <w:sz w:val="18"/>
                <w:szCs w:val="18"/>
              </w:rPr>
              <w:t>CATMAT</w:t>
            </w:r>
          </w:p>
        </w:tc>
        <w:tc>
          <w:tcPr>
            <w:tcW w:w="1046"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color w:val="000000"/>
                <w:sz w:val="18"/>
                <w:szCs w:val="18"/>
              </w:rPr>
              <w:t>UNIDADE DE MEDIDA</w:t>
            </w:r>
          </w:p>
        </w:tc>
        <w:tc>
          <w:tcPr>
            <w:tcW w:w="777"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QUANT</w:t>
            </w:r>
          </w:p>
        </w:tc>
        <w:tc>
          <w:tcPr>
            <w:tcW w:w="1125"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VALOR UNITÁRIO</w:t>
            </w:r>
          </w:p>
        </w:tc>
        <w:tc>
          <w:tcPr>
            <w:tcW w:w="1159" w:type="dxa"/>
            <w:tcBorders>
              <w:top w:val="single" w:sz="4" w:space="0" w:color="000001"/>
              <w:left w:val="single" w:sz="4" w:space="0" w:color="000001"/>
              <w:bottom w:val="single" w:sz="4" w:space="0" w:color="000001"/>
              <w:right w:val="single" w:sz="4" w:space="0" w:color="000001"/>
            </w:tcBorders>
          </w:tcPr>
          <w:p>
            <w:pPr>
              <w:pStyle w:val="Normal"/>
              <w:widowControl w:val="false"/>
              <w:suppressAutoHyphens w:val="true"/>
              <w:spacing w:lineRule="auto" w:line="276" w:before="0" w:after="0"/>
              <w:jc w:val="center"/>
              <w:rPr>
                <w:sz w:val="18"/>
                <w:szCs w:val="18"/>
              </w:rPr>
            </w:pPr>
            <w:r>
              <w:rPr>
                <w:rFonts w:cs="Arial"/>
                <w:b/>
                <w:bCs/>
                <w:sz w:val="18"/>
                <w:szCs w:val="18"/>
              </w:rPr>
              <w:t>VALOR TOTAL</w:t>
            </w:r>
          </w:p>
        </w:tc>
        <w:tc>
          <w:tcPr>
            <w:tcW w:w="1238"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8"/>
                <w:szCs w:val="18"/>
              </w:rPr>
            </w:pPr>
            <w:r>
              <w:rPr>
                <w:b/>
                <w:bCs/>
                <w:i w:val="false"/>
                <w:iCs w:val="false"/>
                <w:color w:val="000000"/>
                <w:sz w:val="18"/>
                <w:szCs w:val="18"/>
              </w:rPr>
              <w:t>LOCAL DE ENTREGA</w:t>
            </w:r>
          </w:p>
        </w:tc>
        <w:tc>
          <w:tcPr>
            <w:tcW w:w="1080" w:type="dxa"/>
            <w:tcBorders>
              <w:top w:val="single" w:sz="4" w:space="0" w:color="000001"/>
              <w:left w:val="single" w:sz="4" w:space="0" w:color="000001"/>
              <w:bottom w:val="single" w:sz="4" w:space="0" w:color="000001"/>
              <w:right w:val="single" w:sz="4" w:space="0" w:color="000001"/>
            </w:tcBorders>
          </w:tcPr>
          <w:p>
            <w:pPr>
              <w:pStyle w:val="Normal"/>
              <w:widowControl w:val="false"/>
              <w:jc w:val="both"/>
              <w:rPr>
                <w:sz w:val="18"/>
                <w:szCs w:val="18"/>
              </w:rPr>
            </w:pPr>
            <w:r>
              <w:rPr>
                <w:b/>
                <w:bCs/>
                <w:i w:val="false"/>
                <w:iCs w:val="false"/>
                <w:color w:val="000000"/>
                <w:sz w:val="18"/>
                <w:szCs w:val="18"/>
              </w:rPr>
              <w:t>PRAZO DE ENTREGA</w:t>
            </w:r>
          </w:p>
        </w:tc>
      </w:tr>
      <w:tr>
        <w:trPr>
          <w:trHeight w:val="1055" w:hRule="atLeast"/>
        </w:trPr>
        <w:tc>
          <w:tcPr>
            <w:tcW w:w="569"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1</w:t>
            </w:r>
          </w:p>
        </w:tc>
        <w:tc>
          <w:tcPr>
            <w:tcW w:w="2662" w:type="dxa"/>
            <w:tcBorders>
              <w:top w:val="single" w:sz="4" w:space="0" w:color="000001"/>
              <w:left w:val="single" w:sz="4" w:space="0" w:color="000001"/>
              <w:bottom w:val="single" w:sz="4" w:space="0" w:color="000001"/>
              <w:right w:val="single" w:sz="4" w:space="0" w:color="000001"/>
            </w:tcBorders>
            <w:vAlign w:val="center"/>
          </w:tcPr>
          <w:p>
            <w:pPr>
              <w:pStyle w:val="Contedodatabela"/>
              <w:jc w:val="both"/>
              <w:rPr>
                <w:rFonts w:ascii="Arial" w:hAnsi="Arial"/>
                <w:color w:val="000000"/>
                <w:sz w:val="24"/>
              </w:rPr>
            </w:pPr>
            <w:r>
              <w:rPr>
                <w:color w:val="000000"/>
                <w:sz w:val="24"/>
              </w:rPr>
              <w:t>chapas de acrílico cristal transparente medindo 20cm x 10 cm x 2mm com furos de 4mm nas pontas (segue modelo em anexo)</w:t>
            </w:r>
          </w:p>
        </w:tc>
        <w:tc>
          <w:tcPr>
            <w:tcW w:w="1233"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359757</w:t>
            </w:r>
          </w:p>
        </w:tc>
        <w:tc>
          <w:tcPr>
            <w:tcW w:w="1046"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50</w:t>
            </w:r>
          </w:p>
        </w:tc>
        <w:tc>
          <w:tcPr>
            <w:tcW w:w="1125"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R$ 5,15</w:t>
            </w:r>
          </w:p>
        </w:tc>
        <w:tc>
          <w:tcPr>
            <w:tcW w:w="1159" w:type="dxa"/>
            <w:tcBorders>
              <w:top w:val="single" w:sz="4" w:space="0" w:color="000001"/>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R$ 257,30</w:t>
            </w:r>
          </w:p>
        </w:tc>
        <w:tc>
          <w:tcPr>
            <w:tcW w:w="1238"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top w:val="single" w:sz="4" w:space="0" w:color="000001"/>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2</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kit varão simples de 3 metros 28mm completo (com 2 fixadores)</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611062</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1</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R$ 89,00</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R$ 89,00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3</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Metalon – tubo retangunlar em aço carbono zincado (4cmx6cmx300cm)</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285933</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Barra 6M</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Arial" w:cs="Arial"/>
                <w:color w:val="00000A"/>
                <w:kern w:val="0"/>
                <w:sz w:val="24"/>
                <w:szCs w:val="20"/>
                <w:lang w:val="pt-BR" w:eastAsia="zh-CN" w:bidi="hi-IN"/>
              </w:rPr>
            </w:pPr>
            <w:r>
              <w:rPr>
                <w:rFonts w:eastAsia="Arial" w:cs="Arial"/>
                <w:color w:val="00000A"/>
                <w:kern w:val="0"/>
                <w:sz w:val="24"/>
                <w:szCs w:val="20"/>
                <w:lang w:val="pt-BR" w:eastAsia="zh-CN" w:bidi="hi-IN"/>
              </w:rPr>
              <w:t>3</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R$ 143,00</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0"/>
                <w:szCs w:val="20"/>
              </w:rPr>
            </w:pPr>
            <w:r>
              <w:rPr>
                <w:color w:val="000000"/>
                <w:sz w:val="24"/>
              </w:rPr>
              <w:t>R$ 429,00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4</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sarrafo pinus aparelhado (5cmx2cmx300cm)</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609329</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100</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R$ 16,10</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R$ 1.610,00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5</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porca sextavada m8 ferro zincado branco (diametro 8mm)</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6143302</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100</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R$ 1,00</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R$ 100,00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6</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manipulo macho m8x 50mm</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483657</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100</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R$ 3,25</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R$ 325,00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r>
        <w:trPr>
          <w:trHeight w:val="1055" w:hRule="atLeast"/>
        </w:trPr>
        <w:tc>
          <w:tcPr>
            <w:tcW w:w="569" w:type="dxa"/>
            <w:tcBorders>
              <w:left w:val="single" w:sz="4" w:space="0" w:color="000001"/>
              <w:bottom w:val="single" w:sz="4" w:space="0" w:color="000001"/>
              <w:right w:val="single" w:sz="4" w:space="0" w:color="000001"/>
            </w:tcBorders>
            <w:vAlign w:val="center"/>
          </w:tcPr>
          <w:p>
            <w:pPr>
              <w:pStyle w:val="Contedodatabela"/>
              <w:jc w:val="center"/>
              <w:rPr>
                <w:rFonts w:ascii="Arial" w:hAnsi="Arial" w:eastAsia="Times New Roman" w:cs="Tahoma"/>
                <w:color w:val="00000A"/>
                <w:sz w:val="24"/>
                <w:lang w:bidi="ar-SA"/>
              </w:rPr>
            </w:pPr>
            <w:r>
              <w:rPr>
                <w:rFonts w:eastAsia="Times New Roman" w:cs="Tahoma"/>
                <w:color w:val="00000A"/>
                <w:sz w:val="24"/>
                <w:lang w:bidi="ar-SA"/>
              </w:rPr>
              <w:t>7</w:t>
            </w:r>
          </w:p>
        </w:tc>
        <w:tc>
          <w:tcPr>
            <w:tcW w:w="2662" w:type="dxa"/>
            <w:tcBorders>
              <w:left w:val="single" w:sz="4" w:space="0" w:color="000001"/>
              <w:bottom w:val="single" w:sz="4" w:space="0" w:color="000001"/>
              <w:right w:val="single" w:sz="4" w:space="0" w:color="000001"/>
            </w:tcBorders>
            <w:vAlign w:val="center"/>
          </w:tcPr>
          <w:p>
            <w:pPr>
              <w:pStyle w:val="Contedodatabela"/>
              <w:jc w:val="both"/>
              <w:rPr>
                <w:rFonts w:ascii="Arial" w:hAnsi="Arial"/>
                <w:sz w:val="24"/>
              </w:rPr>
            </w:pPr>
            <w:r>
              <w:rPr>
                <w:sz w:val="24"/>
              </w:rPr>
              <w:t>prendedor de toalha de mesa</w:t>
            </w:r>
          </w:p>
        </w:tc>
        <w:tc>
          <w:tcPr>
            <w:tcW w:w="1233"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345995</w:t>
            </w:r>
          </w:p>
        </w:tc>
        <w:tc>
          <w:tcPr>
            <w:tcW w:w="1046"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UN</w:t>
            </w:r>
          </w:p>
        </w:tc>
        <w:tc>
          <w:tcPr>
            <w:tcW w:w="777"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10</w:t>
            </w:r>
          </w:p>
        </w:tc>
        <w:tc>
          <w:tcPr>
            <w:tcW w:w="1125" w:type="dxa"/>
            <w:tcBorders>
              <w:left w:val="single" w:sz="4" w:space="0" w:color="000001"/>
              <w:bottom w:val="single" w:sz="4" w:space="0" w:color="000001"/>
              <w:right w:val="single" w:sz="4" w:space="0" w:color="000001"/>
            </w:tcBorders>
            <w:vAlign w:val="center"/>
          </w:tcPr>
          <w:p>
            <w:pPr>
              <w:pStyle w:val="Contedodatabela"/>
              <w:jc w:val="center"/>
              <w:rPr>
                <w:rFonts w:ascii="Arial" w:hAnsi="Arial"/>
                <w:sz w:val="24"/>
              </w:rPr>
            </w:pPr>
            <w:r>
              <w:rPr>
                <w:sz w:val="24"/>
              </w:rPr>
              <w:t>R$ 1,32</w:t>
            </w:r>
          </w:p>
        </w:tc>
        <w:tc>
          <w:tcPr>
            <w:tcW w:w="1159" w:type="dxa"/>
            <w:tcBorders>
              <w:left w:val="single" w:sz="4" w:space="0" w:color="000001"/>
              <w:bottom w:val="single" w:sz="4" w:space="0" w:color="000001"/>
              <w:right w:val="single" w:sz="4" w:space="0" w:color="000001"/>
            </w:tcBorders>
            <w:vAlign w:val="center"/>
          </w:tcPr>
          <w:p>
            <w:pPr>
              <w:pStyle w:val="Contedodatabela"/>
              <w:jc w:val="center"/>
              <w:rPr>
                <w:rFonts w:ascii="Arial" w:hAnsi="Arial"/>
                <w:color w:val="000000"/>
                <w:sz w:val="24"/>
              </w:rPr>
            </w:pPr>
            <w:r>
              <w:rPr>
                <w:color w:val="000000"/>
                <w:sz w:val="24"/>
              </w:rPr>
              <w:t>R$ 13,20</w:t>
            </w:r>
          </w:p>
        </w:tc>
        <w:tc>
          <w:tcPr>
            <w:tcW w:w="1238"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Batalhão de Operações Especiais de Fuzileiros Navais</w:t>
            </w:r>
          </w:p>
        </w:tc>
        <w:tc>
          <w:tcPr>
            <w:tcW w:w="1080" w:type="dxa"/>
            <w:tcBorders>
              <w:left w:val="single" w:sz="4" w:space="0" w:color="000001"/>
              <w:bottom w:val="single" w:sz="4" w:space="0" w:color="000001"/>
              <w:right w:val="single" w:sz="4" w:space="0" w:color="000001"/>
            </w:tcBorders>
            <w:vAlign w:val="center"/>
          </w:tcPr>
          <w:p>
            <w:pPr>
              <w:pStyle w:val="Normal"/>
              <w:widowControl w:val="false"/>
              <w:jc w:val="center"/>
              <w:rPr>
                <w:rFonts w:ascii="Arial" w:hAnsi="Arial"/>
                <w:sz w:val="18"/>
                <w:szCs w:val="18"/>
              </w:rPr>
            </w:pPr>
            <w:r>
              <w:rPr>
                <w:sz w:val="18"/>
                <w:szCs w:val="18"/>
              </w:rPr>
              <w:t>15 DIAS</w:t>
            </w:r>
          </w:p>
        </w:tc>
      </w:tr>
    </w:tbl>
    <w:p>
      <w:pPr>
        <w:pStyle w:val="Normal"/>
        <w:keepNext w:val="true"/>
        <w:keepLines w:val="false"/>
        <w:widowControl/>
        <w:spacing w:lineRule="auto" w:line="276" w:before="120" w:after="120"/>
        <w:ind w:left="194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b/>
      </w:r>
    </w:p>
    <w:p>
      <w:pPr>
        <w:pStyle w:val="Normal"/>
        <w:widowControl/>
        <w:numPr>
          <w:ilvl w:val="2"/>
          <w:numId w:val="3"/>
        </w:numPr>
        <w:spacing w:lineRule="auto" w:line="276" w:before="12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mais de um item ou lote faculta-se ao fornecedor a participação em quantos forem de seu interesse. Entretanto, optando-se por participar de um lote, deve o fornecedor enviar proposta para todos os itens que o compõem.</w:t>
      </w:r>
    </w:p>
    <w:p>
      <w:pPr>
        <w:pStyle w:val="Normal"/>
        <w:keepNext w:val="true"/>
        <w:keepLines w:val="false"/>
        <w:widowControl/>
        <w:numPr>
          <w:ilvl w:val="1"/>
          <w:numId w:val="3"/>
        </w:numPr>
        <w:spacing w:lineRule="auto" w:line="276" w:before="12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critério de julgamento adotado será o menor preço,</w:t>
      </w:r>
      <w:r>
        <w:rPr>
          <w:rFonts w:eastAsia="Arial" w:cs="Arial"/>
          <w:b w:val="false"/>
          <w:i w:val="false"/>
          <w:iCs w:val="false"/>
          <w:caps w:val="false"/>
          <w:smallCaps w:val="false"/>
          <w:strike w:val="false"/>
          <w:dstrike w:val="false"/>
          <w:color w:val="FF0000"/>
          <w:position w:val="0"/>
          <w:sz w:val="24"/>
          <w:sz w:val="24"/>
          <w:szCs w:val="24"/>
          <w:highlight w:val="white"/>
          <w:u w:val="none"/>
          <w:vertAlign w:val="baseline"/>
        </w:rPr>
        <w:t xml:space="preserve">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observadas as exigências contidas neste Aviso de Aquisição Direta e seus Anexos quanto às especificações do objeto.</w:t>
      </w:r>
    </w:p>
    <w:p>
      <w:pPr>
        <w:pStyle w:val="Normal"/>
        <w:widowControl/>
        <w:spacing w:lineRule="auto" w:line="276" w:before="120" w:after="120"/>
        <w:ind w:left="1152" w:right="0" w:hanging="0"/>
        <w:jc w:val="both"/>
        <w:rPr>
          <w:rFonts w:ascii="Arial" w:hAnsi="Arial" w:eastAsia="Arial" w:cs="Arial"/>
          <w:b w:val="false"/>
          <w:b w:val="false"/>
          <w:i w:val="false"/>
          <w:i w:val="false"/>
          <w:iCs w:val="false"/>
          <w:caps w:val="false"/>
          <w:smallCaps w:val="false"/>
          <w:strike w:val="false"/>
          <w:dstrike w:val="false"/>
          <w:color w:val="000000"/>
          <w:position w:val="0"/>
          <w:sz w:val="24"/>
          <w:sz w:val="24"/>
          <w:szCs w:val="24"/>
          <w:u w:val="none"/>
          <w:vertAlign w:val="baseline"/>
        </w:rPr>
      </w:pPr>
      <w:r>
        <w:rPr>
          <w:rFonts w:eastAsia="Arial" w:cs="Arial"/>
          <w:b w:val="false"/>
          <w:i w:val="false"/>
          <w:iCs w:val="false"/>
          <w:caps w:val="false"/>
          <w:smallCaps w:val="false"/>
          <w:strike w:val="false"/>
          <w:dstrike w:val="false"/>
          <w:color w:val="000000"/>
          <w:position w:val="0"/>
          <w:sz w:val="24"/>
          <w:sz w:val="24"/>
          <w:szCs w:val="24"/>
          <w:u w:val="none"/>
          <w:vertAlign w:val="baseline"/>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PARTICIPAÇÃO NA DISPENSA ELETRÔNICA.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participação na presente dispensa eletrônica se dará mediante Sistema de Dispensa Eletrônica integrante do Sistema de Compras do Governo Federal – Comprasnet 4.0, disponível no endereço eletrônico https://www.gov.br/compras/pt-br.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fornecedores deverão atender aos procedimentos previstos no Manual do Sistema de Dispensa Eletrônica, disponível no Portal de Compras do Governo Federal, para acesso ao sistema e operacionalização.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poderão participar desta dispensa os fornecedores: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atendam às condições deste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estrangeiros que não tenham representação legal no Brasil com poderes expressos para receber citação e responder administrativa ou judicialmente;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se enquadrem nas seguintes vedações: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autor do anteprojeto, do projeto básico ou do projeto executivo, pessoa física ou jurídica, quando a contratação versar sobre obra, serviços ou fornecimento de bens a ele relacionados;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se encontre, ao tempo da contratação, impossibilitada de contratar em decorrência de sanção que lhe foi imposta;</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1"/>
        </w:numPr>
        <w:spacing w:lineRule="auto" w:line="276" w:before="120" w:after="120"/>
        <w:ind w:left="1728" w:right="0" w:hanging="648"/>
        <w:jc w:val="both"/>
        <w:rPr/>
      </w:pPr>
      <w:r>
        <w:rPr>
          <w:i w:val="false"/>
          <w:iCs w:val="false"/>
          <w:color w:val="000000"/>
          <w:sz w:val="24"/>
          <w:szCs w:val="24"/>
        </w:rPr>
        <w:t>empresas controladoras, controladas ou coligadas, nos termos da </w:t>
      </w:r>
      <w:hyperlink r:id="rId2">
        <w:r>
          <w:rPr>
            <w:i w:val="false"/>
            <w:iCs w:val="false"/>
            <w:color w:val="000080"/>
            <w:sz w:val="24"/>
            <w:szCs w:val="24"/>
            <w:u w:val="single"/>
          </w:rPr>
          <w:t>Lei nº 6.404, de 15 de dezembro de 1976</w:t>
        </w:r>
      </w:hyperlink>
      <w:r>
        <w:rPr>
          <w:i w:val="false"/>
          <w:iCs w:val="false"/>
          <w:color w:val="000000"/>
          <w:sz w:val="24"/>
          <w:szCs w:val="24"/>
        </w:rPr>
        <w:t>, concorrendo entre si;</w:t>
      </w:r>
    </w:p>
    <w:p>
      <w:pPr>
        <w:pStyle w:val="Normal"/>
        <w:numPr>
          <w:ilvl w:val="3"/>
          <w:numId w:val="1"/>
        </w:numPr>
        <w:spacing w:lineRule="auto" w:line="276" w:before="120" w:after="120"/>
        <w:ind w:left="1728" w:right="0" w:hanging="648"/>
        <w:jc w:val="both"/>
        <w:rPr>
          <w:rFonts w:ascii="Arial" w:hAnsi="Arial"/>
          <w:sz w:val="24"/>
          <w:szCs w:val="24"/>
        </w:rPr>
      </w:pPr>
      <w:r>
        <w:rPr>
          <w:i w:val="false"/>
          <w:iCs w:val="false"/>
          <w:color w:val="000000"/>
          <w:sz w:val="24"/>
          <w:szCs w:val="24"/>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Equiparam-se aos autores do projeto as empresas integrantes do mesmo grupo econômico;</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organizações da Sociedade Civil de Interesse Público - OSCIP, atuando nessa condição (Acórdão nº 746/2014-TCU-Plenário); e</w:t>
      </w:r>
    </w:p>
    <w:p>
      <w:pPr>
        <w:pStyle w:val="Normal"/>
        <w:spacing w:lineRule="auto" w:line="276" w:before="120" w:after="120"/>
        <w:ind w:left="0" w:right="0" w:hanging="0"/>
        <w:jc w:val="both"/>
        <w:rPr>
          <w:rFonts w:ascii="Arial" w:hAnsi="Arial" w:eastAsia="Arial" w:cs="Arial"/>
          <w:b/>
          <w:b/>
          <w:i w:val="false"/>
          <w:i w:val="false"/>
          <w:iCs w:val="false"/>
          <w:caps w:val="false"/>
          <w:smallCaps w:val="false"/>
          <w:strike w:val="false"/>
          <w:dstrike w:val="false"/>
          <w:color w:val="000000"/>
          <w:position w:val="0"/>
          <w:sz w:val="24"/>
          <w:sz w:val="24"/>
          <w:szCs w:val="24"/>
          <w:u w:val="none"/>
          <w:vertAlign w:val="baseline"/>
        </w:rPr>
      </w:pPr>
      <w:r>
        <w:rPr>
          <w:rFonts w:eastAsia="Arial" w:cs="Arial"/>
          <w:b/>
          <w:i w:val="false"/>
          <w:iCs w:val="false"/>
          <w:caps w:val="false"/>
          <w:smallCaps w:val="false"/>
          <w:strike w:val="false"/>
          <w:dstrike w:val="false"/>
          <w:color w:val="000000"/>
          <w:position w:val="0"/>
          <w:sz w:val="24"/>
          <w:sz w:val="24"/>
          <w:szCs w:val="24"/>
          <w:u w:val="none"/>
          <w:vertAlign w:val="baseline"/>
        </w:rPr>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INGRESSO NA DISPENSA ELETRÔNICA E CADASTRAMENTO DA PROPOSTA INICIAL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ingresso do fornecedor na disputa da dispensa eletrônica se dará com o cadastramento de sua proposta inicial, na forma deste item.</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Todas as especificações do </w:t>
      </w:r>
      <w:r>
        <w:rPr>
          <w:i w:val="false"/>
          <w:iCs w:val="false"/>
          <w:color w:val="000000"/>
          <w:sz w:val="24"/>
          <w:szCs w:val="24"/>
        </w:rPr>
        <w:t>objeto</w:t>
      </w:r>
      <w:r>
        <w:rPr>
          <w:i w:val="false"/>
          <w:iCs w:val="false"/>
          <w:sz w:val="24"/>
          <w:szCs w:val="24"/>
        </w:rPr>
        <w:t xml:space="preserve"> contidas na proposta, em especial o preço, vinculam a Contratada.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Independentemente do percentual de tributo inserido na planilha, no pagamento serão retidos na fonte os percentuais estabelecidos na legislação vigente.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A apresentação das propostas implica obrigatoriedade do cumprimento das disposições nelas contidas, em conformidade com o que dispõe o </w:t>
      </w:r>
      <w:r>
        <w:rPr>
          <w:i w:val="false"/>
          <w:iCs w:val="false"/>
          <w:color w:val="000000"/>
          <w:sz w:val="24"/>
          <w:szCs w:val="24"/>
        </w:rPr>
        <w:t>Termo de Referência,</w:t>
      </w:r>
      <w:r>
        <w:rPr>
          <w:i w:val="false"/>
          <w:iCs w:val="false"/>
          <w:sz w:val="24"/>
          <w:szCs w:val="24"/>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Uma vez enviada a proposta no sistema, os fornecedores </w:t>
      </w:r>
      <w:r>
        <w:rPr>
          <w:b/>
          <w:i w:val="false"/>
          <w:iCs w:val="false"/>
          <w:sz w:val="24"/>
          <w:szCs w:val="24"/>
        </w:rPr>
        <w:t>NÃO</w:t>
      </w:r>
      <w:r>
        <w:rPr>
          <w:i w:val="false"/>
          <w:iCs w:val="false"/>
          <w:sz w:val="24"/>
          <w:szCs w:val="24"/>
        </w:rPr>
        <w:t xml:space="preserve"> poderão retirá-la, substituí-la ou modificá-la</w:t>
      </w:r>
      <w:r>
        <w:rPr>
          <w:i w:val="false"/>
          <w:iCs w:val="false"/>
          <w:color w:val="000000"/>
          <w:sz w:val="24"/>
          <w:szCs w:val="24"/>
        </w:rPr>
        <w:t>;</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No cadastramento da proposta inicial, o fornecedor deverá, também, assinalar “sim” ou “não” em campo </w:t>
      </w:r>
      <w:r>
        <w:rPr>
          <w:i w:val="false"/>
          <w:iCs w:val="false"/>
          <w:sz w:val="24"/>
          <w:szCs w:val="24"/>
        </w:rPr>
        <w:t>próprio</w:t>
      </w:r>
      <w:r>
        <w:rPr>
          <w:i w:val="false"/>
          <w:iCs w:val="false"/>
          <w:color w:val="000000"/>
          <w:sz w:val="24"/>
          <w:szCs w:val="24"/>
        </w:rPr>
        <w:t xml:space="preserve"> do sistema eletrônico, às seguintes declarações: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inexistem fatos impeditivos para sua habilitação no certame, ciente da obrigatoriedade de declarar ocorrências posteriores;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os requisitos estabelecidos no artigo 3° da Lei Complementar nº 123, de 2006, estando apto a usufruir do tratamento favorecido estabelecido em seus arts. 42 a 49.</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está ciente e concorda com as condições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assume a responsabilidade pelas transações que forem efetuadas no sistema, assumindo como firmes e verdadeiras;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cumpre as exigências de reserva de cargos para pessoa com deficiência e para reabilitado da Previdência Social, de que trata o art. 93 da Lei nº 8.213/91;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que não emprega menor de 18 anos em trabalho noturno, perigoso ou insalubre e não emprega menor de 16 anos, salvo menor, a partir de 14 anos, na condição de aprendiz, nos termos do artigo 7°, XXXIII, da Constituição.</w:t>
      </w:r>
    </w:p>
    <w:p>
      <w:pPr>
        <w:pStyle w:val="Normal"/>
        <w:keepNext w:val="true"/>
        <w:keepLines w:val="false"/>
        <w:widowControl/>
        <w:spacing w:lineRule="auto" w:line="276" w:before="120" w:after="120"/>
        <w:ind w:left="360" w:right="0" w:hanging="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FASE DE LANCES</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partir das 8:00h da data estabelecida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Iniciada a etapa competitiva, os fornecedores deverão encaminhar lances exclusivamente por meio de sistema eletrônico, sendo imediatamente informados do seu recebimento e do valor consignado no registro.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lance deverá ser ofertado pelo valor total do item.</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somente poderá oferecer valor inferior ou maior percentual de desconto em relação ao último lance por ele ofertado e registrado pelo sistema.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Normal"/>
        <w:keepNext w:val="true"/>
        <w:keepLines w:val="false"/>
        <w:widowControl/>
        <w:spacing w:lineRule="auto" w:line="276" w:before="0" w:after="0"/>
        <w:ind w:left="0"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lances iguais ao menor já ofertado, prevalecerá aquele que for recebido e registrado primeiro no sistema.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o fornecedor não apresente lances, concorrerá com o valor de sua proposta.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Durante o procedimento, os fornecedores serão informados, em tempo real, do valor do menor lance registrado, vedada a identificação do fornecedor.</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Imediatamente após o término do prazo estabelecido para a fase de lances, haverá o seu encerramento, com o ordenamento e divulgação dos lances, pelo sistema, em ordem crescente de classificação.</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encerramento da fase de lances ocorrerá de forma automática pontualmente no horário indicado, sem qualquer possibilidade de prorrogação e não havendo tempo aleatório ou mecanismo similar.</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JULGAMENTO DAS PROPOSTAS DE PREÇO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fase de lances, será verificada a conformidade da proposta classificada em primeiro lugar quanto à adequação do objeto e à compatibilidade do preço em relação ao estipulado para a contratação.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No caso de o preço da proposta vencedora estar acima do estimado pela Administração, poderá haver a negociação de condições mais vantajosas.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Neste caso, será encaminhada contraproposta ao fornecedor que tenha apresentado o melhor preço, para que seja obtida melhor proposta com preço compatível ao estimado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Em qualquer caso, concluída a negociação, o resultado será registrado na ata do procedimento da dispensa eletrônica.</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Estando o preço compatível, será solicitado o envio da proposta e, se necessário, de documentos complementares, adequada ao último lance.</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color w:val="000000"/>
          <w:sz w:val="24"/>
          <w:szCs w:val="24"/>
        </w:rPr>
        <w:t xml:space="preserve">O prazo de validade </w:t>
      </w:r>
      <w:r>
        <w:rPr>
          <w:i w:val="false"/>
          <w:iCs w:val="false"/>
          <w:sz w:val="24"/>
          <w:szCs w:val="24"/>
        </w:rPr>
        <w:t>da</w:t>
      </w:r>
      <w:r>
        <w:rPr>
          <w:i w:val="false"/>
          <w:iCs w:val="false"/>
          <w:color w:val="000000"/>
          <w:sz w:val="24"/>
          <w:szCs w:val="24"/>
        </w:rPr>
        <w:t xml:space="preserve"> proposta não será inferior a 40</w:t>
      </w:r>
      <w:r>
        <w:rPr>
          <w:i w:val="false"/>
          <w:iCs w:val="false"/>
          <w:color w:val="FF0000"/>
          <w:sz w:val="24"/>
          <w:szCs w:val="24"/>
        </w:rPr>
        <w:t xml:space="preserve"> </w:t>
      </w:r>
      <w:r>
        <w:rPr>
          <w:i w:val="false"/>
          <w:iCs w:val="false"/>
          <w:color w:val="000000"/>
          <w:sz w:val="24"/>
          <w:szCs w:val="24"/>
        </w:rPr>
        <w:t>(quarenta) dias</w:t>
      </w:r>
      <w:r>
        <w:rPr>
          <w:b/>
          <w:i w:val="false"/>
          <w:iCs w:val="false"/>
          <w:color w:val="000000"/>
          <w:sz w:val="24"/>
          <w:szCs w:val="24"/>
        </w:rPr>
        <w:t>,</w:t>
      </w:r>
      <w:r>
        <w:rPr>
          <w:i w:val="false"/>
          <w:iCs w:val="false"/>
          <w:color w:val="000000"/>
          <w:sz w:val="24"/>
          <w:szCs w:val="24"/>
        </w:rPr>
        <w:t xml:space="preserve"> a contar da data de sua apresentação.</w:t>
      </w:r>
    </w:p>
    <w:p>
      <w:pPr>
        <w:pStyle w:val="Normal"/>
        <w:keepNext w:val="true"/>
        <w:keepLines w:val="false"/>
        <w:widowControl/>
        <w:numPr>
          <w:ilvl w:val="1"/>
          <w:numId w:val="3"/>
        </w:numPr>
        <w:spacing w:lineRule="auto" w:line="276" w:before="12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Será desclassificada a proposta vencedora que: </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contiver vícios insanáveis;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obedecer às especificações técnicas pormenorizadas neste aviso ou em seus anexos;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preços inexequíveis ou permanecerem acima do preço máximo definido para a contratação;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tiverem sua exequibilidade demonstrada, quando exigido pela Administração;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desconformidade com quaisquer outras exigências deste aviso ou seus anexos, desde que insanável.</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Quando o fornecedor não conseguir comprovar que possui ou possuirá recursos suficientes para executar a contento o objeto, será considerada inexequível a proposta de preços ou menor lance que:</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apresentar um ou mais valores da planilha de custo que sejam inferiores àqueles fixados em instrumentos de caráter normativo obrigatório, tais como leis, medidas provisórias e convenções coletivas de trabalho vigentes.</w:t>
      </w:r>
    </w:p>
    <w:p>
      <w:pPr>
        <w:pStyle w:val="Normal"/>
        <w:widowControl/>
        <w:spacing w:lineRule="auto" w:line="276" w:before="0" w:after="0"/>
        <w:ind w:left="1944" w:right="0" w:hanging="0"/>
        <w:jc w:val="both"/>
        <w:rPr>
          <w:rFonts w:ascii="Arial" w:hAnsi="Arial" w:eastAsia="Arial" w:cs="Arial"/>
          <w:b w:val="false"/>
          <w:b w:val="false"/>
          <w:i w:val="false"/>
          <w:i w:val="false"/>
          <w:iCs w:val="false"/>
          <w:caps w:val="false"/>
          <w:smallCaps w:val="false"/>
          <w:strike w:val="false"/>
          <w:dstrike w:val="false"/>
          <w:color w:val="FF0000"/>
          <w:position w:val="0"/>
          <w:sz w:val="24"/>
          <w:sz w:val="24"/>
          <w:szCs w:val="24"/>
          <w:u w:val="none"/>
          <w:vertAlign w:val="baseline"/>
        </w:rPr>
      </w:pPr>
      <w:r>
        <w:rPr>
          <w:rFonts w:eastAsia="Arial" w:cs="Arial"/>
          <w:b w:val="false"/>
          <w:i w:val="false"/>
          <w:iCs w:val="false"/>
          <w:caps w:val="false"/>
          <w:smallCaps w:val="false"/>
          <w:strike w:val="false"/>
          <w:dstrike w:val="false"/>
          <w:color w:val="FF0000"/>
          <w:position w:val="0"/>
          <w:sz w:val="24"/>
          <w:sz w:val="24"/>
          <w:szCs w:val="24"/>
          <w:u w:val="none"/>
          <w:vertAlign w:val="baseline"/>
        </w:rPr>
      </w:r>
    </w:p>
    <w:p>
      <w:pPr>
        <w:pStyle w:val="Normal"/>
        <w:keepNext w:val="true"/>
        <w:keepLines w:val="false"/>
        <w:widowControl/>
        <w:numPr>
          <w:ilvl w:val="1"/>
          <w:numId w:val="3"/>
        </w:numPr>
        <w:spacing w:lineRule="auto" w:line="276" w:before="120" w:after="0"/>
        <w:ind w:left="792" w:right="-15"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Se houver indícios de inexequibilidade da proposta de preço, ou em caso da necessidade de esclarecimentos complementares, poderão ser efetuadas diligências, para que a empresa comprove a exequibilidade da proposta.  </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Erros no preenchimento da planilha não constituem motivo para a desclassificação da proposta. A planilha poderá ser ajustada pelo fornecedor, no prazo indicado pelo sistema, desde que não haja majoração do preço.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ajuste de que trata este dispositivo se limita a sanar erros ou falhas que não alterem a substância das propostas;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erro no preenchimento da planilha passível de correção a indicação de recolhimento de impostos e contribuições na forma do Simples Nacional, quando não cabível esse regime.</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fins de análise da proposta quanto ao cumprimento das especificações do objeto, poderá ser colhida a manifestação escrita do setor requisitante do serviço ou da área especializada no objeto.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 a proposta ou lance vencedor for desclassificado, será examinada a proposta ou lance subsequente, e, assim sucessivamente, na ordem de classificação.</w:t>
      </w:r>
    </w:p>
    <w:p>
      <w:pPr>
        <w:pStyle w:val="Normal"/>
        <w:keepNext w:val="true"/>
        <w:keepLines w:val="false"/>
        <w:widowControl/>
        <w:numPr>
          <w:ilvl w:val="1"/>
          <w:numId w:val="3"/>
        </w:numPr>
        <w:spacing w:lineRule="auto" w:line="276" w:before="0" w:after="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a sessão será suspensa, informando-se no “chat” a nova data e horário para a sua continuidade.</w:t>
      </w:r>
    </w:p>
    <w:p>
      <w:pPr>
        <w:pStyle w:val="Normal"/>
        <w:keepNext w:val="true"/>
        <w:keepLines w:val="false"/>
        <w:widowControl/>
        <w:numPr>
          <w:ilvl w:val="1"/>
          <w:numId w:val="3"/>
        </w:numPr>
        <w:spacing w:lineRule="auto" w:line="276" w:before="0" w:after="120"/>
        <w:ind w:left="792" w:right="0" w:hanging="432"/>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Encerrada a análise quanto à aceitação da proposta, se iniciará a fase de habilitação, observado o disposto neste Aviso de Contratação Direta. </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HABILITAÇÃO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Os documentos a serem exigidos para fins de habilitação constam do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ANEXO IV – DOCUMENTAÇÃO EXIGIDA PARA HABILITAÇÃO </w:t>
      </w: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deste aviso e serão solicitados do fornecedor mais bem classificado da fase de lances.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Como condição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a) SICAF;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b) Cadastro Nacional de Empresas Inidôneas e Suspensas - CEIS, mantido pela Controladoria-Geral da União (</w:t>
      </w:r>
      <w:hyperlink r:id="rId3">
        <w:r>
          <w:rPr>
            <w:rFonts w:eastAsia="Arial" w:cs="Arial"/>
            <w:b w:val="false"/>
            <w:i w:val="false"/>
            <w:iCs w:val="false"/>
            <w:caps w:val="false"/>
            <w:smallCaps w:val="false"/>
            <w:strike w:val="false"/>
            <w:dstrike w:val="false"/>
            <w:color w:val="000080"/>
            <w:position w:val="0"/>
            <w:sz w:val="24"/>
            <w:sz w:val="24"/>
            <w:szCs w:val="24"/>
            <w:u w:val="single"/>
            <w:vertAlign w:val="baseline"/>
          </w:rPr>
          <w:t>www.portaldatransparencia.gov.br/ceis</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 Cadastro Nacional de Condenações Cíveis por Atos de Improbidade Administrativa, mantido pelo Conselho Nacional de Justiça (</w:t>
      </w:r>
      <w:hyperlink r:id="rId4">
        <w:r>
          <w:rPr>
            <w:rFonts w:eastAsia="Arial" w:cs="Arial"/>
            <w:b w:val="false"/>
            <w:i w:val="false"/>
            <w:iCs w:val="false"/>
            <w:caps w:val="false"/>
            <w:smallCaps w:val="false"/>
            <w:strike w:val="false"/>
            <w:dstrike w:val="false"/>
            <w:color w:val="000080"/>
            <w:position w:val="0"/>
            <w:sz w:val="24"/>
            <w:sz w:val="24"/>
            <w:szCs w:val="24"/>
            <w:u w:val="single"/>
            <w:vertAlign w:val="baseline"/>
          </w:rPr>
          <w:t>www.cnj.jus.br/improbidade_adm/consultar_requerido.php</w:t>
        </w:r>
      </w:hyperlink>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  </w:t>
      </w:r>
    </w:p>
    <w:p>
      <w:pPr>
        <w:pStyle w:val="Normal"/>
        <w:keepNext w:val="true"/>
        <w:keepLines w:val="false"/>
        <w:widowControl/>
        <w:spacing w:lineRule="auto" w:line="276" w:before="0" w:after="0"/>
        <w:ind w:left="1134" w:right="0" w:hanging="0"/>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 xml:space="preserve">d) Lista de Inidôneos mantida pelo Tribunal de Contas da União - TCU; </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Para a consulta de fornecedores pessoa jurídica poderá haver a substituição das consultas das alíneas “b”, “c” e “d” acima pela Consulta Consolidada de Pessoa Jurídica do TCU (https://certidoesapf.apps.tcu.gov.br/)</w:t>
      </w:r>
    </w:p>
    <w:p>
      <w:pPr>
        <w:pStyle w:val="Normal"/>
        <w:keepNext w:val="true"/>
        <w:keepLines w:val="false"/>
        <w:widowControl/>
        <w:numPr>
          <w:ilvl w:val="2"/>
          <w:numId w:val="3"/>
        </w:numPr>
        <w:spacing w:lineRule="auto" w:line="276" w:before="12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consulta aos cadastros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ormal"/>
        <w:keepNext w:val="true"/>
        <w:keepLines w:val="false"/>
        <w:widowControl/>
        <w:numPr>
          <w:ilvl w:val="3"/>
          <w:numId w:val="3"/>
        </w:numPr>
        <w:spacing w:lineRule="auto" w:line="276" w:before="0" w:after="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conste na Consulta de Situação do Fornecedor a existência de Ocorrências Impeditivas Indiretas, o gestor diligenciará para verificar se houve fraude por parte das empresas apontadas no Relatório de Ocorrências Impeditivas Indiretas.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A tentativa de burla será verificada por meio dos vínculos societários, linhas de fornecimento similares, dentre outros.</w:t>
      </w:r>
    </w:p>
    <w:p>
      <w:pPr>
        <w:pStyle w:val="Normal"/>
        <w:keepNext w:val="true"/>
        <w:keepLines w:val="false"/>
        <w:widowControl/>
        <w:numPr>
          <w:ilvl w:val="4"/>
          <w:numId w:val="3"/>
        </w:numPr>
        <w:spacing w:lineRule="auto" w:line="276" w:before="0" w:after="0"/>
        <w:ind w:left="2232" w:right="0" w:hanging="791"/>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será convocado para manifestação previamente à sua desclassificação</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Constatada a existência de sanção, o fornecedor será reputado inabilitado, por falta de condição de participação.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Caso atendidas as condições de participação, a habilitação dos fornecedores será verificada por meio do SICAF, nos documentos por ele abrangidos.</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É dever do fornecedor atualizar previamente as comprovações constantes do SICAF para que estejam vigentes na data da abertura da sessão pública, ou encaminhar, quando solicitado, a respectiva documentação atualizada.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descumprimento do subitem acima implicará a inabilitação do fornecedor, exceto se a consulta aos sítios eletrônicos oficiais emissores de certidões lograr êxito em encontrar a(s) certidão(ões) válida(s).</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Somente haverá a necessidade de comprovação do preenchimento de requisitos mediante apresentação dos documentos originais não-digitais quando houver dúvida em relação à integridade do documento digital.</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Normal"/>
        <w:keepNext w:val="true"/>
        <w:keepLines w:val="false"/>
        <w:widowControl/>
        <w:numPr>
          <w:ilvl w:val="2"/>
          <w:numId w:val="3"/>
        </w:numPr>
        <w:spacing w:lineRule="auto" w:line="276" w:before="0" w:after="12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Não havendo a comprovação cumulativa dos requisitos de habilitação, a inabilitação recairá sobre o(s) item(ns) de menor(es) valor(es) cuja retirada(s) seja(m) suficiente(s) para a habilitação do fornecedor nos remanescentes.</w:t>
      </w:r>
    </w:p>
    <w:p>
      <w:pPr>
        <w:pStyle w:val="Normal"/>
        <w:keepNext w:val="true"/>
        <w:keepLines w:val="false"/>
        <w:widowControl/>
        <w:numPr>
          <w:ilvl w:val="1"/>
          <w:numId w:val="3"/>
        </w:numPr>
        <w:spacing w:lineRule="auto" w:line="276" w:before="12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Havendo necessidade de analisar minuciosamente os documentos exigidos, a sessão será suspensa, sendo informada a nova data e horário para a sua continuidade.</w:t>
      </w:r>
    </w:p>
    <w:p>
      <w:pPr>
        <w:pStyle w:val="Normal"/>
        <w:keepNext w:val="true"/>
        <w:keepLines w:val="false"/>
        <w:widowControl/>
        <w:numPr>
          <w:ilvl w:val="1"/>
          <w:numId w:val="3"/>
        </w:numPr>
        <w:spacing w:lineRule="auto" w:line="276" w:before="0" w:after="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Será inabilitado o fornecedor que não comprovar sua habilitação, seja por não apresentar quaisquer dos documentos exigidos, ou apresentá-los em desacordo com o estabelecido neste Aviso de Contratação Direta.</w:t>
      </w:r>
    </w:p>
    <w:p>
      <w:pPr>
        <w:pStyle w:val="Normal"/>
        <w:keepNext w:val="true"/>
        <w:keepLines w:val="false"/>
        <w:widowControl/>
        <w:numPr>
          <w:ilvl w:val="2"/>
          <w:numId w:val="3"/>
        </w:numPr>
        <w:spacing w:lineRule="auto" w:line="276" w:before="0" w:after="0"/>
        <w:ind w:left="1224" w:right="0" w:hanging="50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keepNext w:val="true"/>
        <w:keepLines w:val="false"/>
        <w:widowControl/>
        <w:numPr>
          <w:ilvl w:val="1"/>
          <w:numId w:val="3"/>
        </w:numPr>
        <w:spacing w:lineRule="auto" w:line="276" w:before="0" w:after="120"/>
        <w:ind w:left="792" w:right="0" w:hanging="574"/>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Constatado o atendimento às exigências de habilitação, o fornecedor será habilitado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Após a homologação e adjudicação, caso se conclua pela contratação, será  emitido a nota de empenho/pedido de material.</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adjudicatário terá o prazo de 3 (três) dias úteis, contados a partir da data de sua convocação, para assinar o Termo de Contrato ou aceitar instrumento equivalente, conforme o caso (Nota de Empenho/Carta Contrato/Autorização/Pedido Material),</w:t>
      </w:r>
      <w:r>
        <w:rPr>
          <w:i w:val="false"/>
          <w:iCs w:val="false"/>
          <w:color w:val="FF0000"/>
          <w:sz w:val="24"/>
          <w:szCs w:val="24"/>
        </w:rPr>
        <w:t xml:space="preserve"> </w:t>
      </w:r>
      <w:r>
        <w:rPr>
          <w:i w:val="false"/>
          <w:iCs w:val="false"/>
          <w:color w:val="000000"/>
          <w:sz w:val="24"/>
          <w:szCs w:val="24"/>
        </w:rPr>
        <w:t xml:space="preserve">sob pena de decair do direito à contratação, sem prejuízo das sanções previstas neste Aviso de Contratação Direta.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O prazo previsto para assinatura do contrato ou aceitação da nota de empenho ou instrumento equivalente poderá ser prorrogado </w:t>
      </w:r>
      <w:r>
        <w:rPr>
          <w:i w:val="false"/>
          <w:iCs w:val="false"/>
          <w:sz w:val="24"/>
          <w:szCs w:val="24"/>
        </w:rPr>
        <w:t xml:space="preserve">1 (uma) vez, </w:t>
      </w:r>
      <w:r>
        <w:rPr>
          <w:i w:val="false"/>
          <w:iCs w:val="false"/>
          <w:color w:val="000000"/>
          <w:sz w:val="24"/>
          <w:szCs w:val="24"/>
        </w:rPr>
        <w:t>por igual período, por solicitação justificada do adjudicatário e aceita pela Administração.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 Aceite da Nota de Empenho ou do instrumento equivalente, emitida à empresa adjudicada, implica no reconhecimento de que: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referida Nota está substituindo o contrato, aplicando-se à relação de negócios ali estabelecida as disposições da Lei nº 14.133, de 2021;</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 contratada se vincula à sua proposta e às previsões contidas no Aviso de Contratação Direta e seus anexos;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xml:space="preserve">a contratada reconhece que as hipóteses de rescisão são aquelas previstas nos artigos 137 e 138 da Lei nº 14.133/21 e reconhece os direitos da Administração previstos nos artigos 137 a 139 da mesma Lei.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Comete infração administrativa o fornecedor que cometer quaisquer das infrações previstas no art. 155 da Lei nº 14.133, de 2021, quais sejam: </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w:t>
      </w:r>
      <w:r>
        <w:rPr>
          <w:i w:val="false"/>
          <w:iCs w:val="false"/>
          <w:sz w:val="24"/>
          <w:szCs w:val="24"/>
        </w:rPr>
        <w:t>;</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parcial do contrato que cause grave dano à Administração, ao funcionamento dos serviços públicos ou ao interesse coletivo;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dar causa à inexecução total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deixar de entregar a documentação exigida para o certame;</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manter a proposta, salvo em decorrência de fato superveniente devidamente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não celebrar o contrato ou não entregar a documentação exigida para a contratação, quando convocado dentro do prazo de validade de sua proposta;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ensejar o retardamento da execução ou da entrega do objeto da licitação sem motivo justificado;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apresentar declaração ou documentação falsa exigida para o certame ou prestar declaração falsa durante a dispensa eletrônica ou 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fraudar a dispensa eletrônica ou praticar ato fraudulento na execução do contrato;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comportar-se de modo inidôneo ou cometer fraude de qualquer natureza;</w:t>
      </w:r>
    </w:p>
    <w:p>
      <w:pPr>
        <w:pStyle w:val="Normal"/>
        <w:keepNext w:val="true"/>
        <w:keepLines w:val="false"/>
        <w:widowControl/>
        <w:numPr>
          <w:ilvl w:val="3"/>
          <w:numId w:val="3"/>
        </w:numPr>
        <w:spacing w:lineRule="auto" w:line="276" w:before="120" w:after="120"/>
        <w:ind w:left="1728" w:right="0" w:hanging="648"/>
        <w:jc w:val="both"/>
        <w:rPr>
          <w:rFonts w:ascii="Arial" w:hAnsi="Arial"/>
          <w:sz w:val="24"/>
          <w:szCs w:val="24"/>
        </w:rPr>
      </w:pPr>
      <w:r>
        <w:rPr>
          <w:rFonts w:eastAsia="Arial" w:cs="Arial"/>
          <w:b w:val="false"/>
          <w:i w:val="false"/>
          <w:iCs w:val="false"/>
          <w:caps w:val="false"/>
          <w:smallCaps w:val="false"/>
          <w:strike w:val="false"/>
          <w:dstrike w:val="false"/>
          <w:color w:val="000000"/>
          <w:position w:val="0"/>
          <w:sz w:val="24"/>
          <w:sz w:val="24"/>
          <w:szCs w:val="24"/>
          <w:highlight w:val="white"/>
          <w:u w:val="none"/>
          <w:vertAlign w:val="baseline"/>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 </w:t>
      </w:r>
      <w:r>
        <w:rPr>
          <w:i w:val="false"/>
          <w:iCs w:val="false"/>
          <w:color w:val="000000"/>
          <w:sz w:val="24"/>
          <w:szCs w:val="24"/>
        </w:rPr>
        <w:t>praticar atos ilícitos com vistas a frustrar os objetivos deste certame.</w:t>
      </w:r>
    </w:p>
    <w:p>
      <w:pPr>
        <w:pStyle w:val="Normal"/>
        <w:numPr>
          <w:ilvl w:val="2"/>
          <w:numId w:val="3"/>
        </w:numPr>
        <w:spacing w:lineRule="auto" w:line="276" w:before="120" w:after="120"/>
        <w:ind w:left="1224" w:right="0" w:hanging="504"/>
        <w:jc w:val="both"/>
        <w:rPr/>
      </w:pPr>
      <w:r>
        <w:rPr>
          <w:i w:val="false"/>
          <w:iCs w:val="false"/>
          <w:color w:val="000000"/>
          <w:sz w:val="24"/>
          <w:szCs w:val="24"/>
        </w:rPr>
        <w:t>praticar ato lesivo previsto no </w:t>
      </w:r>
      <w:r>
        <w:fldChar w:fldCharType="begin"/>
      </w:r>
      <w:r>
        <w:rPr>
          <w:sz w:val="24"/>
          <w:i w:val="false"/>
          <w:szCs w:val="24"/>
          <w:iCs w:val="false"/>
          <w:color w:val="000000"/>
        </w:rPr>
        <w:instrText> HYPERLINK "http://www.planalto.gov.br/ccivil_03/_Ato2011-2014/2013/Lei/L12846.htm" \l "art5"</w:instrText>
      </w:r>
      <w:r>
        <w:rPr>
          <w:sz w:val="24"/>
          <w:i w:val="false"/>
          <w:szCs w:val="24"/>
          <w:iCs w:val="false"/>
          <w:color w:val="000000"/>
        </w:rPr>
        <w:fldChar w:fldCharType="separate"/>
      </w:r>
      <w:r>
        <w:rPr>
          <w:i w:val="false"/>
          <w:iCs w:val="false"/>
          <w:color w:val="000000"/>
          <w:sz w:val="24"/>
          <w:szCs w:val="24"/>
        </w:rPr>
        <w:t>art. 5º da Lei nº 12.846, de 1º de agosto de 2013.</w:t>
      </w:r>
      <w:r>
        <w:rPr>
          <w:sz w:val="24"/>
          <w:i w:val="false"/>
          <w:szCs w:val="24"/>
          <w:iCs w:val="false"/>
          <w:color w:val="000000"/>
        </w:rPr>
        <w:fldChar w:fldCharType="end"/>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fornecedor que cometer qualquer das infrações discriminadas nos subitens anteriores ficará sujeito, sem prejuízo da responsabilidade civil e criminal, às seguintes sanções:</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Advertência pela falta do subitem 8.1.1 deste Aviso de Contratação Direta, quando não se justificar a imposição de penalidade mais grave;</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sz w:val="24"/>
          <w:szCs w:val="24"/>
        </w:rPr>
        <w:t>Multa de</w:t>
      </w:r>
      <w:r>
        <w:rPr>
          <w:i w:val="false"/>
          <w:iCs w:val="false"/>
          <w:color w:val="000000"/>
          <w:sz w:val="24"/>
          <w:szCs w:val="24"/>
        </w:rPr>
        <w:t xml:space="preserve"> 3% (três por cento)</w:t>
      </w:r>
      <w:r>
        <w:rPr>
          <w:i w:val="false"/>
          <w:iCs w:val="false"/>
          <w:color w:val="FF0000"/>
          <w:sz w:val="24"/>
          <w:szCs w:val="24"/>
        </w:rPr>
        <w:t xml:space="preserve"> </w:t>
      </w:r>
      <w:r>
        <w:rPr>
          <w:i w:val="false"/>
          <w:iCs w:val="false"/>
          <w:sz w:val="24"/>
          <w:szCs w:val="24"/>
        </w:rPr>
        <w:t>sobre o valor estimado do(s) item(s) prejudicado(s) pela conduta do fornecedor, por qualquer das infrações dos subitens 8.1.1 a 8.1.12;</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Impedimento de licitar e contratar</w:t>
      </w:r>
      <w:r>
        <w:rPr>
          <w:i w:val="false"/>
          <w:iCs w:val="false"/>
          <w:sz w:val="24"/>
          <w:szCs w:val="24"/>
        </w:rPr>
        <w:t xml:space="preserve"> </w:t>
      </w:r>
      <w:r>
        <w:rPr>
          <w:i w:val="false"/>
          <w:iCs w:val="false"/>
          <w:color w:val="000000"/>
          <w:sz w:val="24"/>
          <w:szCs w:val="24"/>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i w:val="false"/>
          <w:iCs w:val="false"/>
          <w:sz w:val="24"/>
          <w:szCs w:val="24"/>
        </w:rPr>
        <w:t>;</w:t>
      </w:r>
    </w:p>
    <w:p>
      <w:pPr>
        <w:pStyle w:val="Normal"/>
        <w:numPr>
          <w:ilvl w:val="2"/>
          <w:numId w:val="2"/>
        </w:numPr>
        <w:spacing w:lineRule="auto" w:line="276" w:before="120" w:after="120"/>
        <w:ind w:left="1224" w:right="0" w:hanging="504"/>
        <w:jc w:val="both"/>
        <w:rPr>
          <w:rFonts w:ascii="Arial" w:hAnsi="Arial"/>
          <w:sz w:val="24"/>
          <w:szCs w:val="24"/>
        </w:rPr>
      </w:pPr>
      <w:r>
        <w:rPr>
          <w:i w:val="false"/>
          <w:iCs w:val="false"/>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i w:val="false"/>
          <w:iCs w:val="false"/>
          <w:sz w:val="24"/>
          <w:szCs w:val="24"/>
        </w:rPr>
        <w:t>;</w:t>
      </w:r>
    </w:p>
    <w:p>
      <w:pPr>
        <w:pStyle w:val="Normal"/>
        <w:numPr>
          <w:ilvl w:val="1"/>
          <w:numId w:val="3"/>
        </w:numPr>
        <w:spacing w:lineRule="auto" w:line="276" w:before="120" w:after="120"/>
        <w:ind w:left="792" w:right="0" w:hanging="432"/>
        <w:jc w:val="both"/>
        <w:rPr>
          <w:rFonts w:ascii="Arial" w:hAnsi="Arial"/>
          <w:sz w:val="24"/>
          <w:szCs w:val="24"/>
        </w:rPr>
      </w:pPr>
      <w:r>
        <w:rPr>
          <w:i w:val="false"/>
          <w:iCs w:val="false"/>
          <w:sz w:val="24"/>
          <w:szCs w:val="24"/>
        </w:rPr>
        <w:t>Na aplicação das sanções serão considerados: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 natureza e a gravidade da infração cometida;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peculiaridades do caso concreto;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as circunstâncias agravantes ou atenuantes;</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sz w:val="24"/>
          <w:szCs w:val="24"/>
        </w:rPr>
        <w:t>os danos que dela provierem para a Administração Pública;</w:t>
      </w:r>
    </w:p>
    <w:p>
      <w:pPr>
        <w:pStyle w:val="Normal"/>
        <w:numPr>
          <w:ilvl w:val="2"/>
          <w:numId w:val="3"/>
        </w:numPr>
        <w:spacing w:lineRule="auto" w:line="276" w:before="120" w:after="120"/>
        <w:ind w:left="1224" w:right="0" w:hanging="504"/>
        <w:jc w:val="both"/>
        <w:rPr>
          <w:rFonts w:ascii="Arial" w:hAnsi="Arial"/>
          <w:sz w:val="24"/>
          <w:szCs w:val="24"/>
        </w:rPr>
      </w:pPr>
      <w:bookmarkStart w:id="0" w:name="1fob9te"/>
      <w:bookmarkStart w:id="1" w:name="3znysh7"/>
      <w:bookmarkStart w:id="2" w:name="30j0zll"/>
      <w:bookmarkEnd w:id="0"/>
      <w:bookmarkEnd w:id="1"/>
      <w:bookmarkEnd w:id="2"/>
      <w:r>
        <w:rPr>
          <w:i w:val="false"/>
          <w:iCs w:val="false"/>
          <w:sz w:val="24"/>
          <w:szCs w:val="24"/>
        </w:rPr>
        <w:t>a implantação ou o aperfeiçoamento de programa de integridade, conforme normas e orientações dos órgãos de controle.</w:t>
      </w:r>
    </w:p>
    <w:p>
      <w:pPr>
        <w:pStyle w:val="Normal"/>
        <w:numPr>
          <w:ilvl w:val="1"/>
          <w:numId w:val="3"/>
        </w:numPr>
        <w:spacing w:lineRule="auto" w:line="276" w:before="120" w:after="120"/>
        <w:ind w:left="425" w:right="0" w:hanging="0"/>
        <w:jc w:val="both"/>
        <w:rPr>
          <w:rFonts w:ascii="Arial" w:hAnsi="Arial"/>
          <w:sz w:val="24"/>
          <w:szCs w:val="24"/>
        </w:rPr>
      </w:pPr>
      <w:bookmarkStart w:id="3" w:name="2et92p0"/>
      <w:bookmarkEnd w:id="3"/>
      <w:r>
        <w:rPr>
          <w:i w:val="false"/>
          <w:iCs w:val="false"/>
          <w:sz w:val="24"/>
          <w:szCs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das sanções previstas neste Aviso de Contratação Direta, em hipótese alguma, a obrigação de reparação integral do dano causado à Administração Pública.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penalidade de multa pode ser aplicada cumulativamente com as demais sanções.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As sanções por atos praticados no decorrer da contratação estão previstas nos anexos a este Aviso.</w:t>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spacing w:lineRule="auto" w:line="276" w:before="120" w:after="120"/>
        <w:ind w:left="425" w:right="0" w:hanging="0"/>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DOS RECURSOS ORÇAMENTÁRIOS</w:t>
      </w:r>
    </w:p>
    <w:p>
      <w:pPr>
        <w:pStyle w:val="Nivel1"/>
        <w:numPr>
          <w:ilvl w:val="1"/>
          <w:numId w:val="3"/>
        </w:numPr>
        <w:spacing w:before="120" w:after="120"/>
        <w:ind w:left="716" w:right="-30" w:hanging="0"/>
        <w:jc w:val="both"/>
        <w:rPr>
          <w:rFonts w:ascii="Arial" w:hAnsi="Arial"/>
          <w:sz w:val="24"/>
          <w:szCs w:val="24"/>
        </w:rPr>
      </w:pPr>
      <w:r>
        <w:rPr>
          <w:rFonts w:cs="Arial"/>
          <w:b w:val="false"/>
          <w:bCs w:val="false"/>
          <w:i w:val="false"/>
          <w:iCs w:val="false"/>
          <w:color w:val="000000"/>
          <w:sz w:val="24"/>
          <w:szCs w:val="24"/>
          <w:highlight w:val="white"/>
        </w:rPr>
        <w:t>As despesas decorrentes da presente contratação correrão à conta de recursos específicos consignados no Orçamento Geral da União deste exercício, na dotação abaixo discriminada:</w:t>
      </w:r>
    </w:p>
    <w:p>
      <w:pPr>
        <w:pStyle w:val="Normal"/>
        <w:spacing w:lineRule="auto" w:line="276" w:before="120" w:after="120"/>
        <w:ind w:left="1494" w:right="0" w:hanging="0"/>
        <w:jc w:val="both"/>
        <w:rPr/>
      </w:pPr>
      <w:r>
        <w:rPr>
          <w:rFonts w:cs="Arial"/>
          <w:i w:val="false"/>
          <w:iCs w:val="false"/>
          <w:color w:val="000000"/>
          <w:sz w:val="24"/>
          <w:szCs w:val="24"/>
        </w:rPr>
        <w:t>Gestão/Unidade: 0001/795400</w:t>
      </w:r>
    </w:p>
    <w:p>
      <w:pPr>
        <w:pStyle w:val="Normal"/>
        <w:spacing w:lineRule="auto" w:line="276" w:before="120" w:after="120"/>
        <w:ind w:left="1494" w:right="0" w:hanging="0"/>
        <w:jc w:val="both"/>
        <w:rPr/>
      </w:pPr>
      <w:r>
        <w:rPr>
          <w:rFonts w:cs="Arial"/>
          <w:i w:val="false"/>
          <w:iCs w:val="false"/>
          <w:color w:val="000000"/>
          <w:sz w:val="24"/>
          <w:szCs w:val="24"/>
        </w:rPr>
        <w:t xml:space="preserve">Fonte: </w:t>
      </w:r>
      <w:r>
        <w:rPr>
          <w:rFonts w:eastAsia="Arial" w:cs="Arial"/>
          <w:i w:val="false"/>
          <w:iCs w:val="false"/>
          <w:color w:val="000000"/>
          <w:kern w:val="0"/>
          <w:sz w:val="24"/>
          <w:szCs w:val="24"/>
          <w:lang w:val="pt-BR" w:eastAsia="zh-CN" w:bidi="hi-IN"/>
        </w:rPr>
        <w:t>1050000144</w:t>
      </w:r>
    </w:p>
    <w:p>
      <w:pPr>
        <w:pStyle w:val="Normal"/>
        <w:spacing w:lineRule="auto" w:line="276" w:before="120" w:after="120"/>
        <w:ind w:left="1494" w:right="0" w:hanging="0"/>
        <w:jc w:val="both"/>
        <w:rPr/>
      </w:pPr>
      <w:r>
        <w:rPr>
          <w:rFonts w:cs="Arial"/>
          <w:i w:val="false"/>
          <w:iCs w:val="false"/>
          <w:color w:val="000000"/>
          <w:sz w:val="24"/>
          <w:szCs w:val="24"/>
        </w:rPr>
        <w:t xml:space="preserve">Programa de Trabalho: </w:t>
      </w:r>
      <w:r>
        <w:rPr>
          <w:rFonts w:eastAsia="Arial" w:cs="Arial"/>
          <w:i w:val="false"/>
          <w:iCs w:val="false"/>
          <w:color w:val="000000"/>
          <w:kern w:val="0"/>
          <w:sz w:val="24"/>
          <w:szCs w:val="24"/>
          <w:lang w:val="pt-BR" w:eastAsia="zh-CN" w:bidi="hi-IN"/>
        </w:rPr>
        <w:t>174672</w:t>
      </w:r>
    </w:p>
    <w:p>
      <w:pPr>
        <w:pStyle w:val="Normal"/>
        <w:spacing w:lineRule="auto" w:line="276" w:before="120" w:after="120"/>
        <w:ind w:left="1494" w:right="0" w:hanging="0"/>
        <w:jc w:val="both"/>
        <w:rPr/>
      </w:pPr>
      <w:r>
        <w:rPr>
          <w:rFonts w:cs="Arial"/>
          <w:i w:val="false"/>
          <w:iCs w:val="false"/>
          <w:color w:val="000000"/>
          <w:sz w:val="24"/>
          <w:szCs w:val="24"/>
        </w:rPr>
        <w:t xml:space="preserve">Elemento de Despesa: </w:t>
      </w:r>
      <w:r>
        <w:rPr>
          <w:rFonts w:eastAsia="Arial" w:cs="Arial"/>
          <w:i w:val="false"/>
          <w:iCs w:val="false"/>
          <w:color w:val="000000"/>
          <w:kern w:val="0"/>
          <w:sz w:val="24"/>
          <w:szCs w:val="24"/>
          <w:lang w:val="pt-BR" w:eastAsia="zh-CN" w:bidi="hi-IN"/>
        </w:rPr>
        <w:t>339030</w:t>
      </w:r>
    </w:p>
    <w:p>
      <w:pPr>
        <w:pStyle w:val="Normal"/>
        <w:spacing w:lineRule="auto" w:line="276" w:before="120" w:after="120"/>
        <w:ind w:left="1494" w:right="0" w:hanging="0"/>
        <w:jc w:val="both"/>
        <w:rPr/>
      </w:pPr>
      <w:r>
        <w:rPr>
          <w:rFonts w:eastAsia="Arial" w:cs="Arial"/>
          <w:b w:val="false"/>
          <w:bCs w:val="false"/>
          <w:i w:val="false"/>
          <w:iCs w:val="false"/>
          <w:caps w:val="false"/>
          <w:smallCaps w:val="false"/>
          <w:strike w:val="false"/>
          <w:dstrike w:val="false"/>
          <w:color w:val="000000"/>
          <w:kern w:val="0"/>
          <w:position w:val="0"/>
          <w:sz w:val="24"/>
          <w:sz w:val="24"/>
          <w:szCs w:val="24"/>
          <w:u w:val="none"/>
          <w:vertAlign w:val="baseline"/>
          <w:lang w:val="pt-BR" w:eastAsia="zh-CN" w:bidi="hi-IN"/>
        </w:rPr>
        <w:t>PI: Z.4C3.SL.N.0.1.L0</w:t>
      </w:r>
    </w:p>
    <w:p>
      <w:pPr>
        <w:pStyle w:val="Normal"/>
        <w:widowControl/>
        <w:numPr>
          <w:ilvl w:val="0"/>
          <w:numId w:val="3"/>
        </w:numPr>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DAS DISPOSIÇÕES GERAIS</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sz w:val="24"/>
          <w:szCs w:val="24"/>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caso de todos os fornecedores restarem desclassificados ou inabilitados (procedimento fracassado), a Administração poderá:</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republicar o presente aviso com uma nova data;</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3"/>
        </w:numPr>
        <w:spacing w:lineRule="auto" w:line="276" w:before="120" w:after="120"/>
        <w:ind w:left="1728" w:right="0" w:hanging="648"/>
        <w:jc w:val="both"/>
        <w:rPr>
          <w:rFonts w:ascii="Arial" w:hAnsi="Arial"/>
          <w:sz w:val="24"/>
          <w:szCs w:val="24"/>
        </w:rPr>
      </w:pPr>
      <w:r>
        <w:rPr>
          <w:i w:val="false"/>
          <w:iCs w:val="false"/>
          <w:color w:val="000000"/>
          <w:sz w:val="24"/>
          <w:szCs w:val="24"/>
        </w:rPr>
        <w:t>No caso do subitem anterior, a contratação será operacionalizada fora deste procedimento.</w:t>
      </w:r>
    </w:p>
    <w:p>
      <w:pPr>
        <w:pStyle w:val="Normal"/>
        <w:numPr>
          <w:ilvl w:val="2"/>
          <w:numId w:val="3"/>
        </w:numPr>
        <w:spacing w:lineRule="auto" w:line="276" w:before="120" w:after="120"/>
        <w:ind w:left="1224" w:right="0" w:hanging="504"/>
        <w:jc w:val="both"/>
        <w:rPr>
          <w:rFonts w:ascii="Arial" w:hAnsi="Arial"/>
          <w:sz w:val="24"/>
          <w:szCs w:val="24"/>
        </w:rPr>
      </w:pPr>
      <w:r>
        <w:rPr>
          <w:i w:val="false"/>
          <w:iCs w:val="false"/>
          <w:color w:val="000000"/>
          <w:sz w:val="24"/>
          <w:szCs w:val="24"/>
        </w:rPr>
        <w:t>fixar prazo para que possa haver adequação das propostas ou da documentação de habilitação, conforme o caso.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As providências dos subitens 9.2.1 e 9.2.2 acima poderão ser utilizadas se não houver o comparecimento de quaisquer fornecedores interessados (procedimento deserto)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Em caso de divergência entre disposições deste Aviso de Contratação Direta e de seus anexos ou demais peças que compõem o processo, prevalecerá as deste Aviso.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Da sessão pública será divulgada Ata no sistema eletrônico.</w:t>
      </w:r>
    </w:p>
    <w:p>
      <w:pPr>
        <w:pStyle w:val="Normal"/>
        <w:numPr>
          <w:ilvl w:val="1"/>
          <w:numId w:val="3"/>
        </w:numPr>
        <w:spacing w:lineRule="auto" w:line="276" w:before="120" w:after="120"/>
        <w:ind w:left="425" w:right="0" w:hanging="0"/>
        <w:jc w:val="both"/>
        <w:rPr>
          <w:rFonts w:ascii="Arial" w:hAnsi="Arial"/>
          <w:sz w:val="24"/>
          <w:szCs w:val="24"/>
        </w:rPr>
      </w:pPr>
      <w:r>
        <w:rPr>
          <w:i w:val="false"/>
          <w:iCs w:val="false"/>
          <w:color w:val="000000"/>
          <w:sz w:val="24"/>
          <w:szCs w:val="24"/>
        </w:rPr>
        <w:t>Integram este Aviso de Contratação Direta, para todos os fins e efeitos, os seguintes anexos: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 – Formalização da demanda;</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 - Ato de Autorização;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ANEXO III –Termo de Referência; </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ANEXO IV – Documentação exigida para Habilitação; e</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 </w:t>
      </w:r>
      <w:r>
        <w:rPr>
          <w:i w:val="false"/>
          <w:iCs w:val="false"/>
          <w:color w:val="000000"/>
          <w:sz w:val="24"/>
          <w:szCs w:val="24"/>
        </w:rPr>
        <w:t>ANEXO IV – Mapa Comparativo de Preços.</w:t>
      </w:r>
    </w:p>
    <w:p>
      <w:pPr>
        <w:pStyle w:val="Normal"/>
        <w:numPr>
          <w:ilvl w:val="2"/>
          <w:numId w:val="3"/>
        </w:numPr>
        <w:spacing w:lineRule="auto" w:line="276" w:before="120" w:after="120"/>
        <w:jc w:val="both"/>
        <w:rPr>
          <w:rFonts w:ascii="Arial" w:hAnsi="Arial"/>
          <w:sz w:val="24"/>
          <w:szCs w:val="24"/>
        </w:rPr>
      </w:pPr>
      <w:r>
        <w:rPr>
          <w:i w:val="false"/>
          <w:iCs w:val="false"/>
          <w:color w:val="000000"/>
          <w:sz w:val="24"/>
          <w:szCs w:val="24"/>
        </w:rPr>
        <w:t xml:space="preserve"> </w:t>
      </w:r>
      <w:r>
        <w:rPr>
          <w:i w:val="false"/>
          <w:iCs w:val="false"/>
          <w:color w:val="000000"/>
          <w:sz w:val="24"/>
          <w:szCs w:val="24"/>
        </w:rPr>
        <w:t>ANEXO A – Imagem modelo do item 01.</w:t>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120" w:after="120"/>
        <w:jc w:val="both"/>
        <w:rPr>
          <w:rFonts w:ascii="Arial" w:hAnsi="Arial"/>
          <w:i w:val="false"/>
          <w:i w:val="false"/>
          <w:iCs w:val="false"/>
          <w:color w:val="000000"/>
          <w:sz w:val="24"/>
          <w:szCs w:val="24"/>
        </w:rPr>
      </w:pPr>
      <w:r>
        <w:rPr>
          <w:i w:val="false"/>
          <w:iCs w:val="false"/>
          <w:color w:val="000000"/>
          <w:sz w:val="24"/>
          <w:szCs w:val="24"/>
        </w:rPr>
      </w:r>
    </w:p>
    <w:p>
      <w:pPr>
        <w:pStyle w:val="Normal"/>
        <w:spacing w:lineRule="auto" w:line="276" w:before="0" w:after="120"/>
        <w:ind w:left="360" w:right="-15" w:hanging="0"/>
        <w:jc w:val="both"/>
        <w:rPr>
          <w:rFonts w:ascii="Arial" w:hAnsi="Arial"/>
          <w:sz w:val="24"/>
          <w:szCs w:val="24"/>
        </w:rPr>
      </w:pPr>
      <w:r>
        <w:rPr>
          <w:i w:val="false"/>
          <w:iCs w:val="false"/>
          <w:color w:val="000000"/>
          <w:sz w:val="24"/>
          <w:szCs w:val="24"/>
        </w:rPr>
        <w:t>Rio de Janeiro ,       de                    de 2024</w:t>
      </w:r>
    </w:p>
    <w:p>
      <w:pPr>
        <w:pStyle w:val="Normal"/>
        <w:spacing w:lineRule="auto" w:line="276" w:before="0" w:after="120"/>
        <w:ind w:left="360" w:right="-15" w:hanging="0"/>
        <w:jc w:val="both"/>
        <w:rPr>
          <w:rFonts w:ascii="Arial" w:hAnsi="Arial"/>
          <w:i w:val="false"/>
          <w:i w:val="false"/>
          <w:iCs w:val="false"/>
          <w:color w:val="000000"/>
          <w:sz w:val="24"/>
          <w:szCs w:val="24"/>
        </w:rPr>
      </w:pPr>
      <w:r>
        <w:rPr>
          <w:i w:val="false"/>
          <w:iCs w:val="false"/>
          <w:color w:val="000000"/>
          <w:sz w:val="24"/>
          <w:szCs w:val="24"/>
        </w:rPr>
      </w:r>
    </w:p>
    <w:p>
      <w:pPr>
        <w:pStyle w:val="Calibri"/>
        <w:rPr>
          <w:rFonts w:ascii="Arial" w:hAnsi="Arial"/>
          <w:sz w:val="24"/>
          <w:szCs w:val="24"/>
        </w:rPr>
      </w:pPr>
      <w:r>
        <w:rPr>
          <w:rFonts w:ascii="Arial" w:hAnsi="Arial"/>
          <w:sz w:val="24"/>
          <w:szCs w:val="24"/>
        </w:rPr>
        <w:t>_____________________________________</w:t>
      </w:r>
    </w:p>
    <w:p>
      <w:pPr>
        <w:pStyle w:val="Normal"/>
        <w:jc w:val="center"/>
        <w:rPr>
          <w:rFonts w:ascii="Arial" w:hAnsi="Arial"/>
          <w:sz w:val="24"/>
          <w:szCs w:val="24"/>
        </w:rPr>
      </w:pPr>
      <w:r>
        <w:rPr>
          <w:rFonts w:eastAsia="Times New Roman" w:cs="Arial"/>
          <w:b/>
          <w:bCs/>
          <w:iCs/>
          <w:color w:val="000000"/>
          <w:sz w:val="24"/>
          <w:szCs w:val="24"/>
        </w:rPr>
        <w:t xml:space="preserve">DAGOBERTO </w:t>
      </w:r>
      <w:r>
        <w:rPr>
          <w:rFonts w:eastAsia="Times New Roman" w:cs="Arial"/>
          <w:b w:val="false"/>
          <w:bCs w:val="false"/>
          <w:iCs/>
          <w:color w:val="000000"/>
          <w:sz w:val="24"/>
          <w:szCs w:val="24"/>
        </w:rPr>
        <w:t>FERREIRA DA SILVA JUNIOR</w:t>
      </w:r>
    </w:p>
    <w:p>
      <w:pPr>
        <w:pStyle w:val="Normal"/>
        <w:spacing w:lineRule="auto" w:line="240" w:before="0" w:after="0"/>
        <w:ind w:left="0" w:right="0" w:hanging="0"/>
        <w:jc w:val="center"/>
        <w:rPr>
          <w:rFonts w:ascii="Arial" w:hAnsi="Arial"/>
          <w:sz w:val="24"/>
          <w:szCs w:val="24"/>
        </w:rPr>
      </w:pPr>
      <w:r>
        <w:rPr>
          <w:b w:val="false"/>
          <w:bCs w:val="false"/>
          <w:sz w:val="24"/>
          <w:szCs w:val="24"/>
        </w:rPr>
        <w:t xml:space="preserve">  </w:t>
      </w:r>
      <w:r>
        <w:rPr>
          <w:b w:val="false"/>
          <w:bCs w:val="false"/>
          <w:sz w:val="24"/>
          <w:szCs w:val="24"/>
        </w:rPr>
        <w:t>CMG (FN)</w:t>
      </w:r>
    </w:p>
    <w:p>
      <w:pPr>
        <w:pStyle w:val="Normal"/>
        <w:spacing w:lineRule="auto" w:line="240" w:before="114" w:after="114"/>
        <w:jc w:val="center"/>
        <w:rPr>
          <w:rFonts w:ascii="Arial" w:hAnsi="Arial"/>
          <w:sz w:val="24"/>
          <w:szCs w:val="24"/>
        </w:rPr>
      </w:pPr>
      <w:r>
        <w:rPr>
          <w:rFonts w:eastAsia="Times New Roman" w:cs="Arial"/>
          <w:b w:val="false"/>
          <w:bCs w:val="false"/>
          <w:i w:val="false"/>
          <w:iCs/>
          <w:strike w:val="false"/>
          <w:dstrike w:val="false"/>
          <w:outline w:val="false"/>
          <w:shadow w:val="false"/>
          <w:color w:val="000000"/>
          <w:sz w:val="24"/>
          <w:szCs w:val="24"/>
          <w:u w:val="none"/>
          <w:em w:val="none"/>
        </w:rPr>
        <w:t xml:space="preserve"> </w:t>
      </w:r>
      <w:r>
        <w:rPr>
          <w:rFonts w:eastAsia="Times New Roman" w:cs="Arial"/>
          <w:b w:val="false"/>
          <w:bCs w:val="false"/>
          <w:i w:val="false"/>
          <w:iCs/>
          <w:strike w:val="false"/>
          <w:dstrike w:val="false"/>
          <w:outline w:val="false"/>
          <w:shadow w:val="false"/>
          <w:color w:val="000000"/>
          <w:sz w:val="24"/>
          <w:szCs w:val="24"/>
          <w:u w:val="none"/>
          <w:em w:val="none"/>
        </w:rPr>
        <w:t xml:space="preserve">Ordenador de Despesas </w:t>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jc w:val="both"/>
        <w:rPr>
          <w:rFonts w:ascii="Arial" w:hAnsi="Arial"/>
          <w:b/>
          <w:b/>
          <w:i w:val="false"/>
          <w:i w:val="false"/>
          <w:iCs w:val="false"/>
          <w:sz w:val="24"/>
          <w:szCs w:val="24"/>
        </w:rPr>
      </w:pPr>
      <w:r>
        <w:rPr>
          <w:b/>
          <w:i w:val="false"/>
          <w:iCs w:val="false"/>
          <w:sz w:val="24"/>
          <w:szCs w:val="24"/>
        </w:rPr>
      </w:r>
    </w:p>
    <w:p>
      <w:pPr>
        <w:pStyle w:val="Normal"/>
        <w:widowControl w:val="false"/>
        <w:suppressAutoHyphens w:val="true"/>
        <w:overflowPunct w:val="true"/>
        <w:bidi w:val="0"/>
        <w:spacing w:before="0" w:after="0"/>
        <w:ind w:left="-567" w:right="-567" w:hanging="0"/>
        <w:jc w:val="both"/>
        <w:textAlignment w:val="baseline"/>
        <w:rPr>
          <w:rFonts w:ascii="Arial" w:hAnsi="Arial"/>
          <w:b/>
          <w:b/>
          <w:i w:val="false"/>
          <w:i w:val="false"/>
          <w:iCs w:val="false"/>
          <w:sz w:val="24"/>
          <w:szCs w:val="24"/>
        </w:rPr>
      </w:pPr>
      <w:r>
        <w:rPr>
          <w:b/>
          <w:i w:val="false"/>
          <w:iCs w:val="false"/>
          <w:sz w:val="24"/>
          <w:szCs w:val="24"/>
        </w:rPr>
      </w:r>
    </w:p>
    <w:p>
      <w:pPr>
        <w:pStyle w:val="Normal"/>
        <w:jc w:val="both"/>
        <w:rPr>
          <w:rFonts w:ascii="Arial" w:hAnsi="Arial"/>
          <w:sz w:val="24"/>
          <w:szCs w:val="24"/>
        </w:rPr>
      </w:pPr>
      <w:r>
        <w:rPr>
          <w:b/>
          <w:i w:val="false"/>
          <w:iCs w:val="false"/>
          <w:sz w:val="24"/>
          <w:szCs w:val="24"/>
        </w:rPr>
        <w:t>ANEXO IV – DOCUMENTAÇÃO EXIGIDA PARA HABILITAÇÃO</w:t>
      </w:r>
    </w:p>
    <w:p>
      <w:pPr>
        <w:pStyle w:val="Normal"/>
        <w:jc w:val="both"/>
        <w:rPr>
          <w:rFonts w:ascii="Arial" w:hAnsi="Arial"/>
          <w:i w:val="false"/>
          <w:i w:val="false"/>
          <w:iCs w:val="false"/>
          <w:sz w:val="24"/>
          <w:szCs w:val="24"/>
        </w:rPr>
      </w:pPr>
      <w:r>
        <w:rPr>
          <w:i w:val="false"/>
          <w:iCs w:val="false"/>
          <w:sz w:val="24"/>
          <w:szCs w:val="24"/>
        </w:rPr>
      </w:r>
    </w:p>
    <w:p>
      <w:pPr>
        <w:pStyle w:val="Normal"/>
        <w:keepNext w:val="true"/>
        <w:keepLines w:val="false"/>
        <w:widowControl/>
        <w:numPr>
          <w:ilvl w:val="0"/>
          <w:numId w:val="4"/>
        </w:numPr>
        <w:shd w:val="clear" w:fill="FFFFFF"/>
        <w:spacing w:lineRule="auto" w:line="276" w:before="120" w:after="120"/>
        <w:ind w:left="360" w:right="0" w:hanging="360"/>
        <w:jc w:val="both"/>
        <w:rPr>
          <w:rFonts w:ascii="Arial" w:hAnsi="Arial"/>
          <w:sz w:val="24"/>
          <w:szCs w:val="24"/>
        </w:rPr>
      </w:pP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 xml:space="preserve"> </w:t>
      </w:r>
      <w:r>
        <w:rPr>
          <w:rFonts w:eastAsia="Arial" w:cs="Arial"/>
          <w:b/>
          <w:i w:val="false"/>
          <w:iCs w:val="false"/>
          <w:caps w:val="false"/>
          <w:smallCaps w:val="false"/>
          <w:strike w:val="false"/>
          <w:dstrike w:val="false"/>
          <w:color w:val="000000"/>
          <w:position w:val="0"/>
          <w:sz w:val="24"/>
          <w:sz w:val="24"/>
          <w:szCs w:val="24"/>
          <w:highlight w:val="white"/>
          <w:u w:val="none"/>
          <w:vertAlign w:val="baseline"/>
        </w:rPr>
        <w:t>Regularidade fiscal, social e trabalhista:</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inscrição no Cadastro Nacional de Pessoas Jurídicas ou no Cadastro de Pessoas Físicas, conforme o caso;</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color w:val="000000"/>
          <w:sz w:val="24"/>
          <w:szCs w:val="24"/>
        </w:rPr>
        <w:t>prova de regularidade com o Fundo de Garantia do Tempo de Serviço (FGTS);</w:t>
      </w:r>
    </w:p>
    <w:p>
      <w:pPr>
        <w:pStyle w:val="Normal"/>
        <w:numPr>
          <w:ilvl w:val="1"/>
          <w:numId w:val="4"/>
        </w:numPr>
        <w:tabs>
          <w:tab w:val="clear" w:pos="709"/>
          <w:tab w:val="left" w:pos="1440" w:leader="none"/>
        </w:tabs>
        <w:spacing w:lineRule="auto" w:line="276" w:before="120" w:after="120"/>
        <w:ind w:left="927" w:right="0" w:hanging="360"/>
        <w:jc w:val="both"/>
        <w:rPr>
          <w:rFonts w:ascii="Arial" w:hAnsi="Arial"/>
          <w:sz w:val="24"/>
          <w:szCs w:val="24"/>
        </w:rPr>
      </w:pPr>
      <w:r>
        <w:rPr>
          <w:i w:val="false"/>
          <w:iCs w:val="false"/>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keepNext w:val="true"/>
        <w:keepLines w:val="false"/>
        <w:widowControl/>
        <w:shd w:val="clear" w:fill="FFFFFF"/>
        <w:spacing w:lineRule="auto" w:line="276" w:before="120" w:after="120"/>
        <w:ind w:left="360" w:right="0" w:hanging="0"/>
        <w:jc w:val="both"/>
        <w:rPr>
          <w:rFonts w:ascii="Arial" w:hAnsi="Arial"/>
          <w:sz w:val="24"/>
          <w:szCs w:val="24"/>
        </w:rPr>
      </w:pPr>
      <w:r>
        <w:rPr/>
      </w:r>
    </w:p>
    <w:sectPr>
      <w:footerReference w:type="default" r:id="rId5"/>
      <w:type w:val="nextPage"/>
      <w:pgSz w:w="11906" w:h="16838"/>
      <w:pgMar w:left="1185" w:right="1076" w:header="0" w:top="1417" w:footer="708" w:bottom="1417" w:gutter="0"/>
      <w:pgNumType w:start="1" w:fmt="decimal"/>
      <w:formProt w:val="false"/>
      <w:textDirection w:val="lrTb"/>
      <w:docGrid w:type="default" w:linePitch="28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w:charset w:val="01"/>
    <w:family w:val="roman"/>
    <w:pitch w:val="variable"/>
  </w:font>
  <w:font w:name="Ecofont_Spranq_eco_Sans">
    <w:charset w:val="01"/>
    <w:family w:val="roman"/>
    <w:pitch w:val="variable"/>
  </w:font>
  <w:font w:name="Cambria">
    <w:charset w:val="01"/>
    <w:family w:val="roman"/>
    <w:pitch w:val="variable"/>
  </w:font>
  <w:font w:name="Tahoma">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Câmara Nacional de Modelos de Licitações e Contratos – CNMLC/CGU/AGU</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Aviso de Dispensa Eletrônica – Lei nº 14.133/21 e IN SEGES/ME nº 67/2021</w:t>
    </w:r>
  </w:p>
  <w:p>
    <w:pPr>
      <w:pStyle w:val="Normal"/>
      <w:keepNext w:val="true"/>
      <w:keepLines w:val="false"/>
      <w:widowControl/>
      <w:tabs>
        <w:tab w:val="clear" w:pos="709"/>
        <w:tab w:val="center" w:pos="4252" w:leader="none"/>
        <w:tab w:val="right" w:pos="8504" w:leader="none"/>
      </w:tabs>
      <w:spacing w:lineRule="auto" w:line="240" w:before="0" w:after="0"/>
      <w:ind w:left="0" w:right="0" w:hanging="0"/>
      <w:jc w:val="left"/>
      <w:rPr>
        <w:rFonts w:eastAsia="Arial" w:cs="Arial"/>
        <w:b w:val="false"/>
        <w:b w:val="false"/>
        <w:i w:val="false"/>
        <w:i w:val="false"/>
        <w:caps w:val="false"/>
        <w:smallCaps w:val="false"/>
        <w:strike w:val="false"/>
        <w:dstrike w:val="false"/>
        <w:color w:val="000000"/>
        <w:position w:val="0"/>
        <w:sz w:val="20"/>
        <w:sz w:val="12"/>
        <w:szCs w:val="12"/>
        <w:highlight w:val="white"/>
        <w:u w:val="none"/>
        <w:vertAlign w:val="baseline"/>
      </w:rPr>
    </w:pPr>
    <w:r>
      <w:rPr>
        <w:rFonts w:eastAsia="Arial" w:cs="Arial"/>
        <w:b w:val="false"/>
        <w:i w:val="false"/>
        <w:caps w:val="false"/>
        <w:smallCaps w:val="false"/>
        <w:strike w:val="false"/>
        <w:dstrike w:val="false"/>
        <w:color w:val="000000"/>
        <w:position w:val="0"/>
        <w:sz w:val="12"/>
        <w:sz w:val="12"/>
        <w:szCs w:val="12"/>
        <w:highlight w:val="white"/>
        <w:u w:val="none"/>
        <w:vertAlign w:val="baseline"/>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decimal"/>
      <w:lvlText w:val="%1.%2.%3"/>
      <w:lvlJc w:val="left"/>
      <w:pPr>
        <w:tabs>
          <w:tab w:val="num" w:pos="0"/>
        </w:tabs>
        <w:ind w:left="1224" w:hanging="504"/>
      </w:pPr>
      <w:rPr>
        <w:i w:val="false"/>
        <w:b w:val="false"/>
        <w:color w:val="000000"/>
      </w:rPr>
    </w:lvl>
    <w:lvl w:ilvl="3">
      <w:start w:val="1"/>
      <w:numFmt w:val="lowerLetter"/>
      <w:lvlText w:val="%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rPr>
    </w:lvl>
    <w:lvl w:ilvl="2">
      <w:start w:val="1"/>
      <w:numFmt w:val="lowerLetter"/>
      <w:lvlText w:val="%2.%3"/>
      <w:lvlJc w:val="left"/>
      <w:pPr>
        <w:tabs>
          <w:tab w:val="num" w:pos="0"/>
        </w:tabs>
        <w:ind w:left="1224" w:hanging="504"/>
      </w:pPr>
      <w:rPr>
        <w:sz w:val="24"/>
        <w:i w:val="false"/>
        <w:b w:val="false"/>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360" w:hanging="360"/>
      </w:pPr>
      <w:rPr>
        <w:sz w:val="24"/>
        <w:b/>
        <w:rFonts w:eastAsia="Arial" w:cs="Arial"/>
      </w:rPr>
    </w:lvl>
    <w:lvl w:ilvl="1">
      <w:start w:val="1"/>
      <w:numFmt w:val="decimal"/>
      <w:lvlText w:val="%1.%2"/>
      <w:lvlJc w:val="left"/>
      <w:pPr>
        <w:tabs>
          <w:tab w:val="num" w:pos="0"/>
        </w:tabs>
        <w:ind w:left="792" w:hanging="432"/>
      </w:pPr>
      <w:rPr>
        <w:sz w:val="24"/>
        <w:i w:val="false"/>
        <w:b/>
        <w:bCs/>
        <w:rFonts w:eastAsia="Arial" w:cs="Arial"/>
      </w:rPr>
    </w:lvl>
    <w:lvl w:ilvl="2">
      <w:start w:val="1"/>
      <w:numFmt w:val="decimal"/>
      <w:lvlText w:val="%1.%2.%3"/>
      <w:lvlJc w:val="left"/>
      <w:pPr>
        <w:tabs>
          <w:tab w:val="num" w:pos="0"/>
        </w:tabs>
        <w:ind w:left="1224" w:hanging="504"/>
      </w:pPr>
      <w:rPr>
        <w:sz w:val="24"/>
        <w:i w:val="false"/>
        <w:b/>
        <w:rFonts w:eastAsia="Arial" w:cs="Arial"/>
        <w:color w:val="000000"/>
      </w:rPr>
    </w:lvl>
    <w:lvl w:ilvl="3">
      <w:start w:val="1"/>
      <w:numFmt w:val="decimal"/>
      <w:lvlText w:val="%1.%2.%3.%4"/>
      <w:lvlJc w:val="left"/>
      <w:pPr>
        <w:tabs>
          <w:tab w:val="num" w:pos="0"/>
        </w:tabs>
        <w:ind w:left="1728" w:hanging="647"/>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5"/>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sz w:val="24"/>
        <w:b/>
        <w:rFonts w:eastAsia="Arial" w:cs="Arial"/>
      </w:rPr>
    </w:lvl>
    <w:lvl w:ilvl="2">
      <w:start w:val="1"/>
      <w:numFmt w:val="decimal"/>
      <w:lvlText w:val="%1.%2.%3"/>
      <w:lvlJc w:val="left"/>
      <w:pPr>
        <w:tabs>
          <w:tab w:val="num" w:pos="0"/>
        </w:tabs>
        <w:ind w:left="1854" w:hanging="720"/>
      </w:pPr>
      <w:rPr>
        <w:sz w:val="20"/>
        <w:b/>
        <w:rFonts w:eastAsia="Arial" w:cs="Arial"/>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style w:type="paragraph" w:styleId="Normal">
    <w:name w:val="Normal"/>
    <w:qFormat/>
    <w:pPr>
      <w:widowControl w:val="false"/>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1">
    <w:name w:val="Heading 1"/>
    <w:basedOn w:val="Normal"/>
    <w:qFormat/>
    <w:pPr>
      <w:keepNext w:val="true"/>
      <w:keepLines/>
      <w:widowControl w:val="false"/>
      <w:bidi w:val="0"/>
      <w:spacing w:lineRule="auto" w:line="240" w:before="240" w:after="0"/>
      <w:jc w:val="left"/>
    </w:pPr>
    <w:rPr>
      <w:rFonts w:ascii="Calibri" w:hAnsi="Calibri" w:eastAsia="Calibri" w:cs="Calibri"/>
      <w:color w:val="2F5496"/>
      <w:sz w:val="32"/>
      <w:szCs w:val="32"/>
      <w:lang w:val="pt-BR" w:eastAsia="zh-CN" w:bidi="hi-IN"/>
    </w:rPr>
  </w:style>
  <w:style w:type="paragraph" w:styleId="Ttulo2">
    <w:name w:val="Heading 2"/>
    <w:basedOn w:val="Normal"/>
    <w:qFormat/>
    <w:pPr>
      <w:keepNext w:val="true"/>
      <w:keepLines/>
      <w:widowControl w:val="false"/>
      <w:bidi w:val="0"/>
      <w:spacing w:lineRule="auto" w:line="240" w:before="360" w:after="80"/>
      <w:jc w:val="left"/>
    </w:pPr>
    <w:rPr>
      <w:rFonts w:ascii="Arial" w:hAnsi="Arial" w:eastAsia="Arial" w:cs="Arial"/>
      <w:b/>
      <w:color w:val="00000A"/>
      <w:sz w:val="36"/>
      <w:szCs w:val="36"/>
      <w:lang w:val="pt-BR" w:eastAsia="zh-CN" w:bidi="hi-IN"/>
    </w:rPr>
  </w:style>
  <w:style w:type="paragraph" w:styleId="Ttulo3">
    <w:name w:val="Heading 3"/>
    <w:basedOn w:val="Normal"/>
    <w:qFormat/>
    <w:pPr>
      <w:keepNext w:val="true"/>
      <w:keepLines/>
      <w:widowControl w:val="false"/>
      <w:bidi w:val="0"/>
      <w:spacing w:lineRule="auto" w:line="240" w:before="280" w:after="80"/>
      <w:jc w:val="left"/>
    </w:pPr>
    <w:rPr>
      <w:rFonts w:ascii="Arial" w:hAnsi="Arial" w:eastAsia="Arial" w:cs="Arial"/>
      <w:b/>
      <w:color w:val="00000A"/>
      <w:sz w:val="28"/>
      <w:szCs w:val="28"/>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LinkdaInternet">
    <w:name w:val="Link da Internet"/>
    <w:rPr>
      <w:color w:val="000080"/>
      <w:u w:val="single"/>
    </w:rPr>
  </w:style>
  <w:style w:type="character" w:styleId="Nfaseforte">
    <w:name w:val="Ênfase forte"/>
    <w:qFormat/>
    <w:rPr>
      <w:b/>
      <w:bCs/>
    </w:rPr>
  </w:style>
  <w:style w:type="character" w:styleId="Fontepargpadro">
    <w:name w:val="Fonte parág. padrão"/>
    <w:qFormat/>
    <w:rPr/>
  </w:style>
  <w:style w:type="character" w:styleId="Scaytmisspellword">
    <w:name w:val="scayt-misspell-word"/>
    <w:qFormat/>
    <w:rPr/>
  </w:style>
  <w:style w:type="character" w:styleId="Appleconvertedspace">
    <w:name w:val="apple-converted-space"/>
    <w:qFormat/>
    <w:rPr/>
  </w:style>
  <w:style w:type="character" w:styleId="QuoteChar">
    <w:name w:val="Quote Char"/>
    <w:qFormat/>
    <w:rPr>
      <w:rFonts w:ascii="Ecofont_Spranq_eco_Sans" w:hAnsi="Ecofont_Spranq_eco_Sans" w:eastAsia="Ecofont_Spranq_eco_Sans"/>
      <w:i/>
      <w:iCs/>
      <w:color w:val="000000"/>
      <w:sz w:val="24"/>
      <w:szCs w:val="24"/>
      <w:lang w:eastAsia="en-US"/>
    </w:rPr>
  </w:style>
  <w:style w:type="character" w:styleId="Nivel2Char">
    <w:name w:val="Nivel 2 Char"/>
    <w:qFormat/>
    <w:rPr>
      <w:rFonts w:ascii="Ecofont_Spranq_eco_Sans" w:hAnsi="Ecofont_Spranq_eco_Sans" w:eastAsia="Arial Unicode MS"/>
    </w:rPr>
  </w:style>
  <w:style w:type="character" w:styleId="Strong">
    <w:name w:val="Strong"/>
    <w:qFormat/>
    <w:rPr>
      <w:b/>
    </w:rPr>
  </w:style>
  <w:style w:type="character" w:styleId="Nivel01Char">
    <w:name w:val="Nivel_01 Char"/>
    <w:qFormat/>
    <w:rPr>
      <w:rFonts w:ascii="Ecofont_Spranq_eco_Sans" w:hAnsi="Ecofont_Spranq_eco_Sans"/>
      <w:b/>
      <w:bCs/>
      <w:color w:val="365F91"/>
      <w:sz w:val="32"/>
      <w:szCs w:val="32"/>
    </w:rPr>
  </w:style>
  <w:style w:type="character" w:styleId="Nivel01Char1">
    <w:name w:val="Nivel 01 Char"/>
    <w:qFormat/>
    <w:rPr>
      <w:rFonts w:ascii="Ecofont_Spranq_eco_Sans" w:hAnsi="Ecofont_Spranq_eco_Sans"/>
      <w:b/>
      <w:bCs/>
      <w:color w:val="000000"/>
    </w:rPr>
  </w:style>
  <w:style w:type="character" w:styleId="AssuntodocomentrioChar">
    <w:name w:val="Assunto do comentário Char"/>
    <w:qFormat/>
    <w:rPr>
      <w:rFonts w:ascii="Arial" w:hAnsi="Arial" w:eastAsia="Tahoma"/>
      <w:b/>
      <w:bCs/>
    </w:rPr>
  </w:style>
  <w:style w:type="character" w:styleId="TextodecomentrioChar">
    <w:name w:val="Texto de comentário Char"/>
    <w:qFormat/>
    <w:rPr>
      <w:rFonts w:ascii="Arial" w:hAnsi="Arial" w:eastAsia="Tahoma"/>
    </w:rPr>
  </w:style>
  <w:style w:type="character" w:styleId="Annotationreference">
    <w:name w:val="annotation reference"/>
    <w:qFormat/>
    <w:rPr>
      <w:sz w:val="18"/>
    </w:rPr>
  </w:style>
  <w:style w:type="character" w:styleId="Nivel1Char">
    <w:name w:val="Nivel1 Char"/>
    <w:qFormat/>
    <w:rPr>
      <w:rFonts w:ascii="Arial" w:hAnsi="Arial" w:eastAsia="Arial"/>
      <w:b/>
      <w:color w:val="000000"/>
      <w:sz w:val="32"/>
      <w:szCs w:val="32"/>
    </w:rPr>
  </w:style>
  <w:style w:type="character" w:styleId="Ttulo1Char">
    <w:name w:val="Título 1 Char"/>
    <w:qFormat/>
    <w:rPr>
      <w:rFonts w:ascii="Cambria" w:hAnsi="Cambria"/>
      <w:color w:val="365F91"/>
      <w:sz w:val="32"/>
      <w:szCs w:val="32"/>
    </w:rPr>
  </w:style>
  <w:style w:type="character" w:styleId="RodapChar">
    <w:name w:val="Rodapé Char"/>
    <w:qFormat/>
    <w:rPr>
      <w:rFonts w:ascii="Ecofont_Spranq_eco_Sans" w:hAnsi="Ecofont_Spranq_eco_Sans" w:eastAsia="Tahoma"/>
    </w:rPr>
  </w:style>
  <w:style w:type="character" w:styleId="CabealhoChar">
    <w:name w:val="Cabeçalho Char"/>
    <w:qFormat/>
    <w:rPr>
      <w:rFonts w:ascii="Ecofont_Spranq_eco_Sans" w:hAnsi="Ecofont_Spranq_eco_Sans" w:eastAsia="Tahoma"/>
    </w:rPr>
  </w:style>
  <w:style w:type="character" w:styleId="GradeColoridanfase1Char">
    <w:name w:val="Grade Colorida - Ênfase 1 Char"/>
    <w:qFormat/>
    <w:rPr>
      <w:rFonts w:ascii="Ecofont_Spranq_eco_Sans" w:hAnsi="Ecofont_Spranq_eco_Sans" w:eastAsia="Calibri"/>
      <w:i/>
      <w:iCs/>
      <w:color w:val="000000"/>
      <w:szCs w:val="24"/>
      <w:lang w:val="pt-BR" w:eastAsia="en-US"/>
    </w:rPr>
  </w:style>
  <w:style w:type="character" w:styleId="Citao2Char">
    <w:name w:val="citação 2 Char"/>
    <w:qFormat/>
    <w:rPr>
      <w:rFonts w:ascii="Ecofont_Spranq_eco_Sans" w:hAnsi="Ecofont_Spranq_eco_Sans" w:eastAsia="Tahoma"/>
      <w:i/>
      <w:iCs/>
      <w:color w:val="000000"/>
      <w:lang w:eastAsia="en-US"/>
    </w:rPr>
  </w:style>
  <w:style w:type="character" w:styleId="CitaoChar">
    <w:name w:val="Citação Char"/>
    <w:qFormat/>
    <w:rPr>
      <w:rFonts w:ascii="Ecofont_Spranq_eco_Sans" w:hAnsi="Ecofont_Spranq_eco_Sans" w:eastAsia="Tahoma"/>
      <w:i/>
      <w:iCs/>
      <w:color w:val="000000"/>
      <w:szCs w:val="24"/>
      <w:lang w:eastAsia="en-US"/>
    </w:rPr>
  </w:style>
  <w:style w:type="character" w:styleId="Applestylespan">
    <w:name w:val="apple-style-span"/>
    <w:qFormat/>
    <w:rPr/>
  </w:style>
  <w:style w:type="character" w:styleId="Normalchar1">
    <w:name w:val="normal__char1"/>
    <w:qFormat/>
    <w:rPr>
      <w:rFonts w:ascii="Arial" w:hAnsi="Arial" w:eastAsia="Arial"/>
      <w:strike w:val="false"/>
      <w:dstrike w:val="false"/>
      <w:sz w:val="24"/>
      <w:szCs w:val="24"/>
      <w:u w:val="none"/>
      <w:effect w:val="none"/>
    </w:rPr>
  </w:style>
  <w:style w:type="character" w:styleId="Ttulo2Char">
    <w:name w:val="Título 2 Char"/>
    <w:qFormat/>
    <w:rPr>
      <w:b/>
      <w:color w:val="000000"/>
      <w:sz w:val="24"/>
    </w:rPr>
  </w:style>
  <w:style w:type="character" w:styleId="TextodebaloChar">
    <w:name w:val="Texto de balão Char"/>
    <w:qFormat/>
    <w:rPr>
      <w:rFonts w:ascii="Tahoma" w:hAnsi="Tahoma" w:eastAsia="Tahoma"/>
      <w:sz w:val="16"/>
      <w:szCs w:val="16"/>
    </w:rPr>
  </w:style>
  <w:style w:type="character" w:styleId="DefaultParagraphFont">
    <w:name w:val="Default Paragraph Font"/>
    <w:qFormat/>
    <w:rPr/>
  </w:style>
  <w:style w:type="character" w:styleId="WWCharLFO2LVL8">
    <w:name w:val="WW_CharLFO2LVL8"/>
    <w:qFormat/>
    <w:rPr>
      <w:rFonts w:ascii="Courier New" w:hAnsi="Courier New" w:eastAsia="Courier New"/>
    </w:rPr>
  </w:style>
  <w:style w:type="character" w:styleId="WWCharLFO2LVL5">
    <w:name w:val="WW_CharLFO2LVL5"/>
    <w:qFormat/>
    <w:rPr>
      <w:rFonts w:ascii="Courier New" w:hAnsi="Courier New" w:eastAsia="Courier New"/>
    </w:rPr>
  </w:style>
  <w:style w:type="character" w:styleId="WWCharLFO2LVL2">
    <w:name w:val="WW_CharLFO2LVL2"/>
    <w:qFormat/>
    <w:rPr>
      <w:rFonts w:ascii="Courier New" w:hAnsi="Courier New" w:eastAsia="Courier New"/>
    </w:rPr>
  </w:style>
  <w:style w:type="character" w:styleId="WWCharLFO2LVL9">
    <w:name w:val="WW_CharLFO2LVL9"/>
    <w:qFormat/>
    <w:rPr>
      <w:rFonts w:ascii="Wingdings" w:hAnsi="Wingdings" w:cs="Wingdings"/>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1">
    <w:name w:val="WW_CharLFO2LVL1"/>
    <w:qFormat/>
    <w:rPr>
      <w:rFonts w:ascii="Wingdings" w:hAnsi="Wingdings" w:eastAsia="SimSun" w:cs="Mangal"/>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Onormal">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paragraph" w:styleId="Ttulododocumento">
    <w:name w:val="Title"/>
    <w:basedOn w:val="LOnormal"/>
    <w:qFormat/>
    <w:pPr>
      <w:keepNext w:val="true"/>
      <w:spacing w:lineRule="auto" w:line="240" w:before="240" w:after="120"/>
    </w:pPr>
    <w:rPr>
      <w:rFonts w:ascii="Liberation Sans" w:hAnsi="Liberation Sans" w:eastAsia="Liberation Sans" w:cs="Liberation Sans"/>
      <w:sz w:val="28"/>
      <w:szCs w:val="28"/>
    </w:rPr>
  </w:style>
  <w:style w:type="paragraph" w:styleId="Subttulo">
    <w:name w:val="Subtitle"/>
    <w:basedOn w:val="LOnormal"/>
    <w:qFormat/>
    <w:pPr>
      <w:keepNext w:val="true"/>
      <w:keepLines/>
      <w:spacing w:lineRule="auto" w:line="240" w:before="360" w:after="80"/>
    </w:pPr>
    <w:rPr>
      <w:rFonts w:ascii="Georgia" w:hAnsi="Georgia" w:eastAsia="Georgia" w:cs="Georgia"/>
      <w:i/>
      <w:color w:val="666666"/>
      <w:sz w:val="48"/>
      <w:szCs w:val="48"/>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Rodap">
    <w:name w:val="Footer"/>
    <w:basedOn w:val="Normal"/>
    <w:pPr/>
    <w:rPr/>
  </w:style>
  <w:style w:type="paragraph" w:styleId="Nivel1">
    <w:name w:val="Nivel1"/>
    <w:basedOn w:val="Ttulo1"/>
    <w:next w:val="Normal"/>
    <w:qFormat/>
    <w:pPr>
      <w:spacing w:lineRule="auto" w:line="276" w:before="480" w:after="120"/>
      <w:jc w:val="both"/>
    </w:pPr>
    <w:rPr>
      <w:rFonts w:ascii="Arial" w:hAnsi="Arial" w:cs="Arial"/>
      <w:b/>
      <w:color w:val="000000"/>
      <w:sz w:val="20"/>
      <w:szCs w:val="20"/>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Standard">
    <w:name w:val="Standard"/>
    <w:qFormat/>
    <w:pPr>
      <w:widowControl/>
      <w:suppressAutoHyphens w:val="true"/>
      <w:overflowPunct w:val="false"/>
      <w:bidi w:val="0"/>
      <w:spacing w:before="0" w:after="0"/>
      <w:jc w:val="left"/>
      <w:textAlignment w:val="baseline"/>
    </w:pPr>
    <w:rPr>
      <w:rFonts w:ascii="Ecofont_Spranq_eco_Sans" w:hAnsi="Ecofont_Spranq_eco_Sans" w:eastAsia="Tahoma" w:cs="Liberation Serif"/>
      <w:color w:val="00000A"/>
      <w:kern w:val="2"/>
      <w:sz w:val="20"/>
      <w:szCs w:val="24"/>
      <w:lang w:val="pt-BR" w:eastAsia="ar-SA" w:bidi="hi-IN"/>
    </w:rPr>
  </w:style>
  <w:style w:type="paragraph" w:styleId="Citao1">
    <w:name w:val="Citação1"/>
    <w:basedOn w:val="Normal"/>
    <w:qFormat/>
    <w:pPr>
      <w:pBdr>
        <w:bottom w:val="single" w:sz="4" w:space="1" w:color="1F497D"/>
      </w:pBdr>
    </w:pPr>
    <w:rPr>
      <w:rFonts w:ascii="Ecofont_Spranq_eco_Sans" w:hAnsi="Ecofont_Spranq_eco_Sans" w:eastAsia="Ecofont_Spranq_eco_Sans"/>
      <w:i/>
      <w:iCs/>
      <w:color w:val="000000"/>
      <w:highlight w:val="yellow"/>
      <w:lang w:eastAsia="ar-SA"/>
    </w:rPr>
  </w:style>
  <w:style w:type="paragraph" w:styleId="Nivel5">
    <w:name w:val="Nivel 5"/>
    <w:qFormat/>
    <w:pPr>
      <w:widowControl/>
      <w:tabs>
        <w:tab w:val="clear" w:pos="709"/>
        <w:tab w:val="left" w:pos="360" w:leader="none"/>
      </w:tabs>
      <w:suppressAutoHyphens w:val="true"/>
      <w:overflowPunct w:val="false"/>
      <w:bidi w:val="0"/>
      <w:spacing w:lineRule="auto" w:line="276" w:before="120" w:after="120"/>
      <w:ind w:left="3485"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4">
    <w:name w:val="Nivel 4"/>
    <w:qFormat/>
    <w:pPr>
      <w:widowControl/>
      <w:tabs>
        <w:tab w:val="clear" w:pos="709"/>
        <w:tab w:val="left" w:pos="360" w:leader="none"/>
      </w:tabs>
      <w:suppressAutoHyphens w:val="true"/>
      <w:overflowPunct w:val="false"/>
      <w:bidi w:val="0"/>
      <w:spacing w:lineRule="auto" w:line="276" w:before="120" w:after="120"/>
      <w:ind w:left="2491" w:right="0" w:hanging="0"/>
      <w:jc w:val="both"/>
      <w:textAlignment w:val="baseline"/>
    </w:pPr>
    <w:rPr>
      <w:rFonts w:ascii="Ecofont_Spranq_eco_Sans" w:hAnsi="Ecofont_Spranq_eco_Sans" w:eastAsia="Arial" w:cs="Lohit Devanagari"/>
      <w:color w:val="auto"/>
      <w:kern w:val="2"/>
      <w:sz w:val="20"/>
      <w:szCs w:val="20"/>
      <w:lang w:val="pt-BR" w:eastAsia="ar-SA" w:bidi="hi-IN"/>
    </w:rPr>
  </w:style>
  <w:style w:type="paragraph" w:styleId="Nivel3">
    <w:name w:val="Nivel 3"/>
    <w:qFormat/>
    <w:pPr>
      <w:widowControl/>
      <w:tabs>
        <w:tab w:val="clear" w:pos="709"/>
        <w:tab w:val="left" w:pos="360" w:leader="none"/>
      </w:tabs>
      <w:suppressAutoHyphens w:val="true"/>
      <w:overflowPunct w:val="false"/>
      <w:bidi w:val="0"/>
      <w:spacing w:lineRule="auto" w:line="276" w:before="120" w:after="120"/>
      <w:ind w:left="1922" w:right="0" w:hanging="0"/>
      <w:jc w:val="both"/>
      <w:textAlignment w:val="baseline"/>
    </w:pPr>
    <w:rPr>
      <w:rFonts w:ascii="Ecofont_Spranq_eco_Sans" w:hAnsi="Ecofont_Spranq_eco_Sans" w:eastAsia="Arial" w:cs="Lohit Devanagari"/>
      <w:color w:val="000000"/>
      <w:kern w:val="2"/>
      <w:sz w:val="20"/>
      <w:szCs w:val="20"/>
      <w:lang w:val="pt-BR" w:eastAsia="ar-SA" w:bidi="hi-IN"/>
    </w:rPr>
  </w:style>
  <w:style w:type="paragraph" w:styleId="Nivel11">
    <w:name w:val="Nivel 1"/>
    <w:qFormat/>
    <w:pPr>
      <w:widowControl/>
      <w:tabs>
        <w:tab w:val="clear" w:pos="709"/>
        <w:tab w:val="left" w:pos="360" w:leader="none"/>
      </w:tabs>
      <w:suppressAutoHyphens w:val="true"/>
      <w:overflowPunct w:val="false"/>
      <w:bidi w:val="0"/>
      <w:spacing w:lineRule="auto" w:line="276" w:before="120" w:after="120"/>
      <w:ind w:left="644" w:right="0" w:hanging="432"/>
      <w:jc w:val="both"/>
      <w:textAlignment w:val="baseline"/>
    </w:pPr>
    <w:rPr>
      <w:rFonts w:ascii="Ecofont_Spranq_eco_Sans" w:hAnsi="Ecofont_Spranq_eco_Sans" w:eastAsia="Arial" w:cs="Lohit Devanagari"/>
      <w:b/>
      <w:color w:val="auto"/>
      <w:kern w:val="2"/>
      <w:sz w:val="20"/>
      <w:szCs w:val="20"/>
      <w:lang w:val="pt-BR" w:eastAsia="ar-SA" w:bidi="hi-IN"/>
    </w:rPr>
  </w:style>
  <w:style w:type="paragraph" w:styleId="Nivel2">
    <w:name w:val="Nivel 2"/>
    <w:qFormat/>
    <w:pPr>
      <w:widowControl/>
      <w:suppressAutoHyphens w:val="true"/>
      <w:overflowPunct w:val="false"/>
      <w:bidi w:val="0"/>
      <w:spacing w:lineRule="auto" w:line="276" w:before="120" w:after="120"/>
      <w:jc w:val="both"/>
      <w:textAlignment w:val="baseline"/>
    </w:pPr>
    <w:rPr>
      <w:rFonts w:ascii="Ecofont_Spranq_eco_Sans" w:hAnsi="Ecofont_Spranq_eco_Sans" w:eastAsia="Times New Roman" w:cs="Liberation Serif"/>
      <w:color w:val="00000A"/>
      <w:kern w:val="0"/>
      <w:sz w:val="20"/>
      <w:szCs w:val="20"/>
      <w:lang w:val="pt-BR" w:eastAsia="ar-SA" w:bidi="hi-IN"/>
    </w:rPr>
  </w:style>
  <w:style w:type="paragraph" w:styleId="PargrafodaLista1">
    <w:name w:val="Parágrafo da Lista1"/>
    <w:basedOn w:val="Normal"/>
    <w:qFormat/>
    <w:pPr>
      <w:ind w:left="720" w:right="0" w:hanging="0"/>
    </w:pPr>
    <w:rPr>
      <w:rFonts w:ascii="Ecofont_Spranq_eco_Sans" w:hAnsi="Ecofont_Spranq_eco_Sans" w:eastAsia="Ecofont_Spranq_eco_Sans"/>
      <w:lang w:eastAsia="ar-SA"/>
    </w:rPr>
  </w:style>
  <w:style w:type="paragraph" w:styleId="SombreamentoMdio1nfase31">
    <w:name w:val="Sombreamento Médio 1 - Ênfase 31"/>
    <w:basedOn w:val="Normal"/>
    <w:qFormat/>
    <w:pPr>
      <w:pBdr>
        <w:top w:val="single" w:sz="4" w:space="1" w:color="000080"/>
        <w:left w:val="single" w:sz="4" w:space="4" w:color="000080"/>
        <w:bottom w:val="single" w:sz="4" w:space="1" w:color="000080"/>
        <w:right w:val="single" w:sz="4" w:space="4" w:color="000080"/>
      </w:pBdr>
      <w:shd w:val="clear" w:fill="FFFFCC"/>
      <w:spacing w:before="120" w:after="0"/>
      <w:jc w:val="both"/>
    </w:pPr>
    <w:rPr>
      <w:rFonts w:ascii="Ecofont_Spranq_eco_Sans" w:hAnsi="Ecofont_Spranq_eco_Sans" w:eastAsia="Calibri"/>
      <w:i/>
      <w:iCs/>
      <w:color w:val="000000"/>
      <w:lang w:eastAsia="ar-SA"/>
    </w:rPr>
  </w:style>
  <w:style w:type="paragraph" w:styleId="Nivel01">
    <w:name w:val="Nivel_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sz w:val="20"/>
      <w:szCs w:val="20"/>
      <w:lang w:eastAsia="ar-SA"/>
    </w:rPr>
  </w:style>
  <w:style w:type="paragraph" w:styleId="Nivel011">
    <w:name w:val="Nivel 01"/>
    <w:basedOn w:val="Ttulo1"/>
    <w:qFormat/>
    <w:pPr>
      <w:keepNext w:val="true"/>
      <w:keepLines/>
      <w:tabs>
        <w:tab w:val="clear" w:pos="709"/>
        <w:tab w:val="left" w:pos="567" w:leader="none"/>
      </w:tabs>
      <w:spacing w:before="240" w:after="0"/>
      <w:jc w:val="both"/>
    </w:pPr>
    <w:rPr>
      <w:rFonts w:ascii="Ecofont_Spranq_eco_Sans" w:hAnsi="Ecofont_Spranq_eco_Sans" w:eastAsia="Times New Roman"/>
      <w:b/>
      <w:bCs/>
      <w:color w:val="000000"/>
      <w:sz w:val="20"/>
      <w:szCs w:val="20"/>
      <w:lang w:eastAsia="ar-SA"/>
    </w:rPr>
  </w:style>
  <w:style w:type="paragraph" w:styleId="Annotationsubject">
    <w:name w:val="annotation subject"/>
    <w:qFormat/>
    <w:pPr>
      <w:widowControl/>
      <w:suppressAutoHyphens w:val="true"/>
      <w:overflowPunct w:val="false"/>
      <w:bidi w:val="0"/>
      <w:spacing w:before="0" w:after="0"/>
      <w:jc w:val="left"/>
      <w:textAlignment w:val="baseline"/>
    </w:pPr>
    <w:rPr>
      <w:rFonts w:ascii="Liberation Serif" w:hAnsi="Liberation Serif" w:eastAsia="Noto Sans CJK SC" w:cs="Lohit Devanagari"/>
      <w:b/>
      <w:color w:val="auto"/>
      <w:kern w:val="2"/>
      <w:sz w:val="20"/>
      <w:szCs w:val="24"/>
      <w:lang w:val="pt-BR" w:eastAsia="zh-CN" w:bidi="hi-IN"/>
    </w:rPr>
  </w:style>
  <w:style w:type="paragraph" w:styleId="Annotationtext">
    <w:name w:val="annotation text"/>
    <w:basedOn w:val="Normal"/>
    <w:qFormat/>
    <w:pPr/>
    <w:rPr/>
  </w:style>
  <w:style w:type="paragraph" w:styleId="GradeColoridanfase11">
    <w:name w:val="Grade Colorida - Ênfase 11"/>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Times New Roman"/>
      <w:i/>
      <w:iCs/>
      <w:color w:val="000000"/>
      <w:lang w:eastAsia="ar-SA"/>
    </w:rPr>
  </w:style>
  <w:style w:type="paragraph" w:styleId="Citao2">
    <w:name w:val="citação 2"/>
    <w:qFormat/>
    <w:pPr>
      <w:widowControl/>
      <w:pBdr>
        <w:top w:val="single" w:sz="4" w:space="1" w:color="1F497D"/>
        <w:left w:val="single" w:sz="4" w:space="4" w:color="1F497D"/>
        <w:bottom w:val="single" w:sz="4" w:space="1" w:color="1F497D"/>
        <w:right w:val="single" w:sz="4" w:space="4" w:color="1F497D"/>
      </w:pBdr>
      <w:shd w:val="clear" w:fill="FFFFCC"/>
      <w:suppressAutoHyphens w:val="true"/>
      <w:overflowPunct w:val="false"/>
      <w:bidi w:val="0"/>
      <w:spacing w:before="120" w:after="0"/>
      <w:jc w:val="both"/>
      <w:textAlignment w:val="baseline"/>
    </w:pPr>
    <w:rPr>
      <w:rFonts w:ascii="Liberation Serif" w:hAnsi="Liberation Serif" w:eastAsia="Calibri" w:cs="Lohit Devanagari"/>
      <w:i/>
      <w:iCs/>
      <w:color w:val="000000"/>
      <w:kern w:val="2"/>
      <w:sz w:val="20"/>
      <w:szCs w:val="20"/>
      <w:lang w:val="pt-BR" w:eastAsia="ar-SA" w:bidi="hi-IN"/>
    </w:rPr>
  </w:style>
  <w:style w:type="paragraph" w:styleId="ListBullet5">
    <w:name w:val="List Bullet 5"/>
    <w:basedOn w:val="Normal"/>
    <w:qFormat/>
    <w:pPr>
      <w:spacing w:before="0" w:after="0"/>
      <w:contextualSpacing/>
    </w:pPr>
    <w:rPr/>
  </w:style>
  <w:style w:type="paragraph" w:styleId="Quote">
    <w:name w:val="Quote"/>
    <w:basedOn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lang w:eastAsia="ar-SA"/>
    </w:rPr>
  </w:style>
  <w:style w:type="paragraph" w:styleId="Nvel2">
    <w:name w:val="Nível 2"/>
    <w:basedOn w:val="Normal"/>
    <w:qFormat/>
    <w:pPr>
      <w:spacing w:before="0" w:after="120"/>
      <w:jc w:val="both"/>
    </w:pPr>
    <w:rPr>
      <w:rFonts w:eastAsia="Times New Roman"/>
      <w:b/>
      <w:szCs w:val="20"/>
      <w:lang w:eastAsia="ar-SA"/>
    </w:rPr>
  </w:style>
  <w:style w:type="paragraph" w:styleId="BalloonText">
    <w:name w:val="Balloon Text"/>
    <w:basedOn w:val="Normal"/>
    <w:qFormat/>
    <w:pPr/>
    <w:rPr>
      <w:rFonts w:ascii="Tahoma" w:hAnsi="Tahoma" w:cs="Tahoma"/>
      <w:sz w:val="16"/>
      <w:szCs w:val="16"/>
      <w:lang w:bidi="ar-SA"/>
    </w:rPr>
  </w:style>
  <w:style w:type="paragraph" w:styleId="NormalWeb">
    <w:name w:val="Normal (Web)"/>
    <w:basedOn w:val="Normal"/>
    <w:qFormat/>
    <w:pPr>
      <w:spacing w:before="280" w:after="280"/>
    </w:pPr>
    <w:rPr>
      <w:rFonts w:ascii="Times New Roman" w:hAnsi="Times New Roman" w:eastAsia="Times New Roman"/>
      <w:lang w:eastAsia="ar-SA"/>
    </w:rPr>
  </w:style>
  <w:style w:type="paragraph" w:styleId="ListParagraph">
    <w:name w:val="List Paragraph"/>
    <w:basedOn w:val="Normal"/>
    <w:qFormat/>
    <w:pPr>
      <w:spacing w:before="0" w:after="0"/>
      <w:ind w:left="720" w:right="0" w:hanging="0"/>
      <w:contextualSpacing/>
    </w:pPr>
    <w:rPr/>
  </w:style>
  <w:style w:type="paragraph" w:styleId="DocumentMap">
    <w:name w:val="Document Map"/>
    <w:qFormat/>
    <w:pPr>
      <w:widowControl/>
      <w:suppressAutoHyphens w:val="true"/>
      <w:overflowPunct w:val="fals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Default">
    <w:name w:val="Default"/>
    <w:qFormat/>
    <w:pPr>
      <w:widowControl/>
      <w:suppressAutoHyphens w:val="true"/>
      <w:overflowPunct w:val="false"/>
      <w:bidi w:val="0"/>
      <w:spacing w:before="0" w:after="0"/>
      <w:jc w:val="left"/>
      <w:textAlignment w:val="baseline"/>
    </w:pPr>
    <w:rPr>
      <w:rFonts w:ascii="Liberation Serif" w:hAnsi="Liberation Serif" w:eastAsia="Times New Roman" w:cs="Liberation Serif"/>
      <w:color w:val="000000"/>
      <w:kern w:val="2"/>
      <w:sz w:val="24"/>
      <w:szCs w:val="24"/>
      <w:lang w:val="pt-BR" w:eastAsia="hi-IN" w:bidi="hi-IN"/>
    </w:rPr>
  </w:style>
  <w:style w:type="paragraph" w:styleId="Textbody">
    <w:name w:val="Text body"/>
    <w:qFormat/>
    <w:pPr>
      <w:widowControl/>
      <w:suppressAutoHyphens w:val="true"/>
      <w:overflowPunct w:val="false"/>
      <w:bidi w:val="0"/>
      <w:spacing w:before="0" w:after="120"/>
      <w:jc w:val="left"/>
      <w:textAlignment w:val="baseline"/>
    </w:pPr>
    <w:rPr>
      <w:rFonts w:ascii="Ecofont_Spranq_eco_Sans" w:hAnsi="Ecofont_Spranq_eco_Sans" w:eastAsia="Tahoma" w:cs="Lohit Devanagari"/>
      <w:color w:val="00000A"/>
      <w:kern w:val="2"/>
      <w:sz w:val="20"/>
      <w:szCs w:val="24"/>
      <w:lang w:val="pt-BR" w:eastAsia="ar-SA" w:bidi="hi-IN"/>
    </w:rPr>
  </w:style>
  <w:style w:type="paragraph" w:styleId="Ttulo11">
    <w:name w:val="Título1"/>
    <w:qFormat/>
    <w:pPr>
      <w:keepNext w:val="true"/>
      <w:widowControl/>
      <w:suppressAutoHyphens w:val="true"/>
      <w:overflowPunct w:val="false"/>
      <w:bidi w:val="0"/>
      <w:spacing w:before="240" w:after="120"/>
      <w:jc w:val="left"/>
      <w:textAlignment w:val="baseline"/>
    </w:pPr>
    <w:rPr>
      <w:rFonts w:ascii="Arial" w:hAnsi="Arial" w:eastAsia="Arial" w:cs="Liberation Serif"/>
      <w:color w:val="auto"/>
      <w:kern w:val="2"/>
      <w:sz w:val="28"/>
      <w:szCs w:val="28"/>
      <w:lang w:val="pt-BR" w:eastAsia="hi-IN" w:bidi="hi-IN"/>
    </w:rPr>
  </w:style>
  <w:style w:type="paragraph" w:styleId="LONormal1">
    <w:name w:val="LO-Normal"/>
    <w:qFormat/>
    <w:pPr>
      <w:widowControl/>
      <w:suppressAutoHyphens w:val="true"/>
      <w:overflowPunct w:val="false"/>
      <w:bidi w:val="0"/>
      <w:spacing w:before="0" w:after="0"/>
      <w:jc w:val="left"/>
      <w:textAlignment w:val="baseline"/>
    </w:pPr>
    <w:rPr>
      <w:rFonts w:ascii="Liberation Serif" w:hAnsi="Liberation Serif" w:eastAsia="0" w:cs="Liberation Serif"/>
      <w:color w:val="auto"/>
      <w:kern w:val="2"/>
      <w:sz w:val="24"/>
      <w:szCs w:val="24"/>
      <w:lang w:val="pt-BR" w:eastAsia="hi-IN" w:bidi="hi-IN"/>
    </w:rPr>
  </w:style>
  <w:style w:type="paragraph" w:styleId="Citaes">
    <w:name w:val="Citações"/>
    <w:basedOn w:val="Standard"/>
    <w:qFormat/>
    <w:pPr>
      <w:suppressAutoHyphens w:val="true"/>
      <w:spacing w:before="0" w:after="283"/>
      <w:ind w:left="567" w:right="567" w:hanging="0"/>
    </w:pPr>
    <w:rPr/>
  </w:style>
  <w:style w:type="paragraph" w:styleId="LONormal1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1079</TotalTime>
  <Application>LibreOffice/6.4.7.2$Linux_X86_64 LibreOffice_project/40$Build-2</Application>
  <Pages>15</Pages>
  <Words>4756</Words>
  <Characters>27235</Characters>
  <CharactersWithSpaces>31642</CharactersWithSpaces>
  <Paragraphs>268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2024-03-14T11:47:49Z</cp:lastPrinted>
  <dcterms:modified xsi:type="dcterms:W3CDTF">2024-04-18T13:55:06Z</dcterms:modified>
  <cp:revision>217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